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附件7：</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bookmarkStart w:id="0" w:name="_Hlk70355250"/>
      <w:r>
        <w:rPr>
          <w:rFonts w:hint="eastAsia" w:ascii="方正小标宋_GBK" w:hAnsi="华文中宋" w:eastAsia="方正小标宋_GBK" w:cs="宋体"/>
          <w:b/>
          <w:kern w:val="0"/>
          <w:sz w:val="48"/>
          <w:szCs w:val="48"/>
        </w:rPr>
        <w:t>伊犁州</w:t>
      </w:r>
      <w:r>
        <w:rPr>
          <w:rFonts w:hint="eastAsia" w:ascii="方正小标宋_GBK" w:hAnsi="华文中宋" w:eastAsia="方正小标宋_GBK" w:cs="宋体"/>
          <w:b/>
          <w:kern w:val="0"/>
          <w:sz w:val="48"/>
          <w:szCs w:val="48"/>
          <w:lang w:val="en-US" w:eastAsia="zh-CN"/>
        </w:rPr>
        <w:t>特克斯县残疾人联合会</w:t>
      </w:r>
      <w:r>
        <w:rPr>
          <w:rFonts w:hint="eastAsia" w:ascii="方正小标宋_GBK" w:hAnsi="华文中宋" w:eastAsia="方正小标宋_GBK" w:cs="宋体"/>
          <w:b/>
          <w:kern w:val="0"/>
          <w:sz w:val="48"/>
          <w:szCs w:val="48"/>
        </w:rPr>
        <w:t>部门单位整体支出绩效自评报告</w:t>
      </w:r>
    </w:p>
    <w:bookmarkEnd w:id="0"/>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int="eastAsia" w:hAnsi="宋体" w:eastAsia="仿宋_GB2312" w:cs="宋体"/>
          <w:kern w:val="0"/>
          <w:sz w:val="36"/>
          <w:szCs w:val="36"/>
        </w:rPr>
      </w:pPr>
      <w:r>
        <w:rPr>
          <w:rFonts w:hint="eastAsia" w:hAnsi="宋体" w:eastAsia="仿宋_GB2312" w:cs="宋体"/>
          <w:kern w:val="0"/>
          <w:sz w:val="36"/>
          <w:szCs w:val="36"/>
        </w:rPr>
        <w:t>部门单位名称（公章）：</w:t>
      </w:r>
      <w:r>
        <w:rPr>
          <w:rFonts w:hint="eastAsia" w:hAnsi="宋体" w:eastAsia="仿宋_GB2312" w:cs="宋体"/>
          <w:kern w:val="0"/>
          <w:sz w:val="36"/>
          <w:szCs w:val="36"/>
          <w:lang w:val="en-US" w:eastAsia="zh-CN"/>
        </w:rPr>
        <w:t>特克斯县残疾人联合会</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2022</w:t>
      </w:r>
      <w:r>
        <w:rPr>
          <w:rFonts w:hint="eastAsia" w:hAnsi="宋体" w:eastAsia="仿宋_GB2312" w:cs="宋体"/>
          <w:kern w:val="0"/>
          <w:sz w:val="36"/>
          <w:szCs w:val="36"/>
        </w:rPr>
        <w:t xml:space="preserve"> 年</w:t>
      </w:r>
      <w:r>
        <w:rPr>
          <w:rFonts w:hint="eastAsia" w:hAnsi="宋体" w:eastAsia="仿宋_GB2312" w:cs="宋体"/>
          <w:kern w:val="0"/>
          <w:sz w:val="36"/>
          <w:szCs w:val="36"/>
          <w:lang w:val="en-US" w:eastAsia="zh-CN"/>
        </w:rPr>
        <w:t>4</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25</w:t>
      </w:r>
      <w:r>
        <w:rPr>
          <w:rFonts w:hint="eastAsia" w:hAnsi="宋体" w:eastAsia="仿宋_GB2312" w:cs="宋体"/>
          <w:kern w:val="0"/>
          <w:sz w:val="36"/>
          <w:szCs w:val="36"/>
        </w:rPr>
        <w:t>日</w:t>
      </w:r>
    </w:p>
    <w:p>
      <w:pPr>
        <w:pStyle w:val="4"/>
        <w:spacing w:line="360" w:lineRule="auto"/>
        <w:rPr>
          <w:rFonts w:ascii="仿宋" w:hAnsi="仿宋" w:eastAsia="仿宋"/>
          <w:sz w:val="36"/>
          <w:szCs w:val="36"/>
          <w:lang w:bidi="ar"/>
        </w:rPr>
      </w:pPr>
      <w:bookmarkStart w:id="1" w:name="_Toc70450289"/>
      <w:r>
        <w:rPr>
          <w:rFonts w:hint="eastAsia" w:ascii="仿宋" w:hAnsi="仿宋" w:eastAsia="仿宋"/>
          <w:sz w:val="36"/>
          <w:szCs w:val="36"/>
          <w:lang w:bidi="ar"/>
        </w:rPr>
        <w:t>一、基本概况</w:t>
      </w:r>
      <w:bookmarkEnd w:id="1"/>
    </w:p>
    <w:p>
      <w:pPr>
        <w:pStyle w:val="5"/>
        <w:spacing w:line="360" w:lineRule="auto"/>
        <w:rPr>
          <w:rStyle w:val="16"/>
          <w:rFonts w:ascii="仿宋" w:hAnsi="仿宋" w:eastAsia="仿宋"/>
          <w:b/>
          <w:bCs/>
        </w:rPr>
      </w:pPr>
      <w:bookmarkStart w:id="2" w:name="_Toc70450290"/>
      <w:r>
        <w:rPr>
          <w:rStyle w:val="16"/>
          <w:rFonts w:hint="eastAsia" w:ascii="仿宋" w:hAnsi="仿宋" w:eastAsia="仿宋"/>
          <w:b/>
          <w:bCs/>
        </w:rPr>
        <w:t>（一）部门单位基本情况</w:t>
      </w:r>
      <w:bookmarkEnd w:id="2"/>
    </w:p>
    <w:p>
      <w:pPr>
        <w:pStyle w:val="6"/>
        <w:spacing w:line="360" w:lineRule="auto"/>
        <w:ind w:firstLine="562" w:firstLineChars="200"/>
        <w:rPr>
          <w:rStyle w:val="16"/>
          <w:rFonts w:ascii="仿宋" w:hAnsi="仿宋" w:eastAsia="仿宋"/>
          <w:b/>
          <w:bCs/>
        </w:rPr>
      </w:pPr>
      <w:bookmarkStart w:id="3" w:name="_Toc70450291"/>
      <w:r>
        <w:rPr>
          <w:rStyle w:val="16"/>
          <w:rFonts w:ascii="仿宋" w:hAnsi="仿宋" w:eastAsia="仿宋"/>
          <w:b/>
          <w:bCs/>
        </w:rPr>
        <w:t>1</w:t>
      </w:r>
      <w:r>
        <w:rPr>
          <w:rStyle w:val="16"/>
          <w:rFonts w:hint="eastAsia" w:ascii="仿宋" w:hAnsi="仿宋" w:eastAsia="仿宋"/>
          <w:b/>
          <w:bCs/>
        </w:rPr>
        <w:t>、主要职能</w:t>
      </w:r>
      <w:bookmarkEnd w:id="3"/>
    </w:p>
    <w:p>
      <w:pPr>
        <w:spacing w:line="360" w:lineRule="auto"/>
        <w:ind w:firstLine="544" w:firstLineChars="200"/>
        <w:rPr>
          <w:rStyle w:val="16"/>
          <w:rFonts w:hint="default"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1.代表残疾人共同利益，听取残疾人意见，反映残疾人要求，维护残疾人合法权益，全心全意为残疾人服务。</w:t>
      </w:r>
    </w:p>
    <w:p>
      <w:pPr>
        <w:spacing w:line="360" w:lineRule="auto"/>
        <w:ind w:firstLine="544" w:firstLineChars="200"/>
        <w:rPr>
          <w:rStyle w:val="16"/>
          <w:rFonts w:hint="default"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2.团结教育残疾人，遵纪守法，履行应尽的义务，发扬乐观进取精神，自尊、自信、自强、自立，为社会主义建设事业贡献力量。</w:t>
      </w:r>
    </w:p>
    <w:p>
      <w:pPr>
        <w:spacing w:line="360" w:lineRule="auto"/>
        <w:ind w:firstLine="544" w:firstLineChars="200"/>
        <w:rPr>
          <w:rStyle w:val="16"/>
          <w:rFonts w:hint="default"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3.弘扬人道主义精神，宣传残疾人事业，沟通政府、社会与残疾人之间的联系，动员全社会理解、尊重、关心、帮助残疾人。</w:t>
      </w:r>
    </w:p>
    <w:p>
      <w:pPr>
        <w:spacing w:line="360" w:lineRule="auto"/>
        <w:ind w:firstLine="544" w:firstLineChars="200"/>
        <w:rPr>
          <w:rStyle w:val="16"/>
          <w:rFonts w:hint="default"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4.协调卫生部门开展残疾人的康复工作，并承担康复项目的组织实施任务。</w:t>
      </w:r>
    </w:p>
    <w:p>
      <w:pPr>
        <w:spacing w:line="360" w:lineRule="auto"/>
        <w:ind w:firstLine="544" w:firstLineChars="200"/>
        <w:rPr>
          <w:rStyle w:val="16"/>
          <w:rFonts w:hint="default"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5.会同劳动人事部门做好残疾人劳动评估、培训和就业安置工作，负责协调实施“按比例安排残疾人就业规定”和就业保障金的收缴、管理工作。</w:t>
      </w:r>
    </w:p>
    <w:p>
      <w:pPr>
        <w:spacing w:line="360" w:lineRule="auto"/>
        <w:ind w:firstLine="544" w:firstLineChars="200"/>
        <w:rPr>
          <w:rStyle w:val="16"/>
          <w:rFonts w:hint="default"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6.协调教育部门组织实施残疾人教育工作，促进残疾人青少年儿童义务教育和职业技术教育的发展。</w:t>
      </w:r>
    </w:p>
    <w:p>
      <w:pPr>
        <w:spacing w:line="360" w:lineRule="auto"/>
        <w:ind w:firstLine="544" w:firstLineChars="200"/>
        <w:rPr>
          <w:rStyle w:val="16"/>
          <w:rFonts w:hint="default"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7.结合实施扶贫攻坚计划，开展残疾人扶贫工作，落实城镇残困户最低生活保障制度。协助金融部门做好残疾人专项扶贫贷款的管理工作。</w:t>
      </w:r>
    </w:p>
    <w:p>
      <w:pPr>
        <w:spacing w:line="360" w:lineRule="auto"/>
        <w:ind w:firstLine="544" w:firstLineChars="200"/>
        <w:rPr>
          <w:rStyle w:val="16"/>
          <w:rFonts w:hint="default"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8.协助文化体育部门共同制定和组织实施残疾人文体活动。</w:t>
      </w:r>
    </w:p>
    <w:p>
      <w:pPr>
        <w:spacing w:line="360" w:lineRule="auto"/>
        <w:ind w:firstLine="544" w:firstLineChars="200"/>
        <w:rPr>
          <w:rStyle w:val="16"/>
          <w:rFonts w:hint="default"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9.协助政府研究制定和实施残疾人事业的政策、规定和计划，并对有关业务工作进行指导与监管。</w:t>
      </w:r>
    </w:p>
    <w:p>
      <w:pPr>
        <w:spacing w:line="360" w:lineRule="auto"/>
        <w:ind w:firstLine="544" w:firstLineChars="200"/>
        <w:rPr>
          <w:rStyle w:val="16"/>
          <w:rFonts w:hint="default"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10.统筹开展为残疾人事业募捐活动。</w:t>
      </w:r>
    </w:p>
    <w:p>
      <w:pPr>
        <w:spacing w:line="360" w:lineRule="auto"/>
        <w:ind w:firstLine="544" w:firstLineChars="200"/>
        <w:rPr>
          <w:rStyle w:val="16"/>
          <w:rFonts w:hint="default"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11.指导和管理各类残疾人社团组织活动，开展残疾人事业的交流和合作。</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12.承担政府残工委的日常工作以及县委、政府交办的其他。</w:t>
      </w:r>
    </w:p>
    <w:p>
      <w:pPr>
        <w:pStyle w:val="6"/>
        <w:spacing w:line="360" w:lineRule="auto"/>
        <w:ind w:firstLine="562" w:firstLineChars="200"/>
        <w:rPr>
          <w:rStyle w:val="16"/>
          <w:rFonts w:ascii="仿宋" w:hAnsi="仿宋" w:eastAsia="仿宋"/>
          <w:b/>
          <w:bCs/>
        </w:rPr>
      </w:pPr>
      <w:bookmarkStart w:id="4" w:name="_Toc70450292"/>
      <w:r>
        <w:rPr>
          <w:rStyle w:val="16"/>
          <w:rFonts w:hint="eastAsia" w:ascii="仿宋" w:hAnsi="仿宋" w:eastAsia="仿宋"/>
          <w:b/>
          <w:bCs/>
        </w:rPr>
        <w:t>2、机构人员构成</w:t>
      </w:r>
      <w:bookmarkEnd w:id="4"/>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（1）组织机构设置：</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lang w:val="en-US" w:eastAsia="zh-CN"/>
        </w:rPr>
        <w:t>特克斯县残疾人联合会</w:t>
      </w:r>
      <w:r>
        <w:rPr>
          <w:rStyle w:val="16"/>
          <w:rFonts w:hint="eastAsia" w:ascii="仿宋_GB2312" w:hAnsi="楷体" w:eastAsia="仿宋_GB2312"/>
          <w:b w:val="0"/>
          <w:spacing w:val="-4"/>
          <w:sz w:val="28"/>
          <w:szCs w:val="28"/>
        </w:rPr>
        <w:t>无下属预算单位，下设</w:t>
      </w:r>
      <w:r>
        <w:rPr>
          <w:rStyle w:val="16"/>
          <w:rFonts w:hint="eastAsia" w:ascii="仿宋_GB2312" w:hAnsi="楷体" w:eastAsia="仿宋_GB2312"/>
          <w:b w:val="0"/>
          <w:spacing w:val="-4"/>
          <w:sz w:val="28"/>
          <w:szCs w:val="28"/>
          <w:lang w:val="en-US" w:eastAsia="zh-CN"/>
        </w:rPr>
        <w:t>2</w:t>
      </w:r>
      <w:r>
        <w:rPr>
          <w:rStyle w:val="16"/>
          <w:rFonts w:hint="eastAsia" w:ascii="仿宋_GB2312" w:hAnsi="楷体" w:eastAsia="仿宋_GB2312"/>
          <w:b w:val="0"/>
          <w:spacing w:val="-4"/>
          <w:sz w:val="28"/>
          <w:szCs w:val="28"/>
        </w:rPr>
        <w:t>个</w:t>
      </w:r>
      <w:r>
        <w:rPr>
          <w:rStyle w:val="16"/>
          <w:rFonts w:hint="eastAsia" w:ascii="仿宋_GB2312" w:hAnsi="楷体" w:eastAsia="仿宋_GB2312"/>
          <w:b w:val="0"/>
          <w:spacing w:val="-4"/>
          <w:sz w:val="28"/>
          <w:szCs w:val="28"/>
          <w:lang w:val="en-US" w:eastAsia="zh-CN"/>
        </w:rPr>
        <w:t>科</w:t>
      </w:r>
      <w:r>
        <w:rPr>
          <w:rStyle w:val="16"/>
          <w:rFonts w:hint="eastAsia" w:ascii="仿宋_GB2312" w:hAnsi="楷体" w:eastAsia="仿宋_GB2312"/>
          <w:b w:val="0"/>
          <w:spacing w:val="-4"/>
          <w:sz w:val="28"/>
          <w:szCs w:val="28"/>
        </w:rPr>
        <w:t>室，分别是：</w:t>
      </w:r>
      <w:r>
        <w:rPr>
          <w:rStyle w:val="16"/>
          <w:rFonts w:hint="eastAsia" w:ascii="仿宋_GB2312" w:hAnsi="楷体" w:eastAsia="仿宋_GB2312"/>
          <w:b w:val="0"/>
          <w:spacing w:val="-4"/>
          <w:sz w:val="28"/>
          <w:szCs w:val="28"/>
          <w:lang w:eastAsia="zh-CN"/>
        </w:rPr>
        <w:t>办公室、残疾人就业保障所</w:t>
      </w:r>
      <w:r>
        <w:rPr>
          <w:rStyle w:val="16"/>
          <w:rFonts w:hint="eastAsia" w:ascii="仿宋_GB2312" w:hAnsi="楷体" w:eastAsia="仿宋_GB2312"/>
          <w:b w:val="0"/>
          <w:spacing w:val="-4"/>
          <w:sz w:val="28"/>
          <w:szCs w:val="28"/>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（2）2021年</w:t>
      </w:r>
      <w:r>
        <w:rPr>
          <w:rStyle w:val="16"/>
          <w:rFonts w:hint="eastAsia" w:ascii="仿宋_GB2312" w:hAnsi="楷体" w:eastAsia="仿宋_GB2312"/>
          <w:b w:val="0"/>
          <w:spacing w:val="-4"/>
          <w:sz w:val="28"/>
          <w:szCs w:val="28"/>
          <w:lang w:val="en-US" w:eastAsia="zh-CN"/>
        </w:rPr>
        <w:t>特克斯县残疾人联合会</w:t>
      </w:r>
      <w:r>
        <w:rPr>
          <w:rStyle w:val="16"/>
          <w:rFonts w:hint="eastAsia" w:ascii="仿宋_GB2312" w:hAnsi="楷体" w:eastAsia="仿宋_GB2312"/>
          <w:b w:val="0"/>
          <w:spacing w:val="-4"/>
          <w:sz w:val="28"/>
          <w:szCs w:val="28"/>
        </w:rPr>
        <w:t>实有</w:t>
      </w:r>
      <w:r>
        <w:rPr>
          <w:rStyle w:val="16"/>
          <w:rFonts w:hint="eastAsia" w:ascii="仿宋_GB2312" w:hAnsi="楷体" w:eastAsia="仿宋_GB2312"/>
          <w:b w:val="0"/>
          <w:spacing w:val="-4"/>
          <w:sz w:val="28"/>
          <w:szCs w:val="28"/>
          <w:highlight w:val="none"/>
        </w:rPr>
        <w:t>在职人员为</w:t>
      </w:r>
      <w:r>
        <w:rPr>
          <w:rStyle w:val="16"/>
          <w:rFonts w:hint="eastAsia" w:ascii="仿宋_GB2312" w:hAnsi="楷体" w:eastAsia="仿宋_GB2312"/>
          <w:b w:val="0"/>
          <w:spacing w:val="-4"/>
          <w:sz w:val="28"/>
          <w:szCs w:val="28"/>
          <w:highlight w:val="none"/>
          <w:lang w:val="en-US" w:eastAsia="zh-CN"/>
        </w:rPr>
        <w:t>8</w:t>
      </w:r>
      <w:r>
        <w:rPr>
          <w:rStyle w:val="16"/>
          <w:rFonts w:hint="eastAsia" w:ascii="仿宋_GB2312" w:hAnsi="楷体" w:eastAsia="仿宋_GB2312"/>
          <w:b w:val="0"/>
          <w:spacing w:val="-4"/>
          <w:sz w:val="28"/>
          <w:szCs w:val="28"/>
          <w:highlight w:val="none"/>
        </w:rPr>
        <w:t>人</w:t>
      </w:r>
      <w:r>
        <w:rPr>
          <w:rStyle w:val="16"/>
          <w:rFonts w:hint="eastAsia" w:ascii="仿宋_GB2312" w:hAnsi="楷体" w:eastAsia="仿宋_GB2312"/>
          <w:b w:val="0"/>
          <w:spacing w:val="-4"/>
          <w:sz w:val="28"/>
          <w:szCs w:val="28"/>
        </w:rPr>
        <w:t>，其中：</w:t>
      </w:r>
    </w:p>
    <w:p>
      <w:pPr>
        <w:spacing w:line="360" w:lineRule="auto"/>
        <w:ind w:firstLine="544" w:firstLineChars="200"/>
        <w:rPr>
          <w:rStyle w:val="16"/>
          <w:rFonts w:hint="eastAsia" w:ascii="仿宋_GB2312" w:hAnsi="楷体" w:eastAsia="仿宋_GB2312"/>
          <w:b w:val="0"/>
          <w:color w:val="auto"/>
          <w:spacing w:val="-4"/>
          <w:sz w:val="28"/>
          <w:szCs w:val="28"/>
        </w:rPr>
      </w:pPr>
      <w:r>
        <w:rPr>
          <w:rStyle w:val="16"/>
          <w:rFonts w:hint="eastAsia" w:ascii="仿宋_GB2312" w:hAnsi="楷体" w:eastAsia="仿宋_GB2312"/>
          <w:b w:val="0"/>
          <w:spacing w:val="-4"/>
          <w:sz w:val="28"/>
          <w:szCs w:val="28"/>
        </w:rPr>
        <w:t>行政在职</w:t>
      </w:r>
      <w:r>
        <w:rPr>
          <w:rStyle w:val="16"/>
          <w:rFonts w:hint="eastAsia" w:ascii="仿宋_GB2312" w:hAnsi="楷体" w:eastAsia="仿宋_GB2312"/>
          <w:b w:val="0"/>
          <w:spacing w:val="-4"/>
          <w:sz w:val="28"/>
          <w:szCs w:val="28"/>
          <w:lang w:val="en-US" w:eastAsia="zh-CN"/>
        </w:rPr>
        <w:t>4</w:t>
      </w:r>
      <w:r>
        <w:rPr>
          <w:rStyle w:val="16"/>
          <w:rFonts w:hint="eastAsia" w:ascii="仿宋_GB2312" w:hAnsi="楷体" w:eastAsia="仿宋_GB2312"/>
          <w:b w:val="0"/>
          <w:spacing w:val="-4"/>
          <w:sz w:val="28"/>
          <w:szCs w:val="28"/>
        </w:rPr>
        <w:t>人（上年</w:t>
      </w:r>
      <w:r>
        <w:rPr>
          <w:rStyle w:val="16"/>
          <w:rFonts w:hint="eastAsia" w:ascii="仿宋_GB2312" w:hAnsi="楷体" w:eastAsia="仿宋_GB2312"/>
          <w:b w:val="0"/>
          <w:spacing w:val="-4"/>
          <w:sz w:val="28"/>
          <w:szCs w:val="28"/>
          <w:lang w:val="en-US" w:eastAsia="zh-CN"/>
        </w:rPr>
        <w:t>4</w:t>
      </w:r>
      <w:r>
        <w:rPr>
          <w:rStyle w:val="16"/>
          <w:rFonts w:hint="eastAsia" w:ascii="仿宋_GB2312" w:hAnsi="楷体" w:eastAsia="仿宋_GB2312"/>
          <w:b w:val="0"/>
          <w:spacing w:val="-4"/>
          <w:sz w:val="28"/>
          <w:szCs w:val="28"/>
        </w:rPr>
        <w:t>人），</w:t>
      </w:r>
      <w:r>
        <w:rPr>
          <w:rStyle w:val="16"/>
          <w:rFonts w:hint="eastAsia" w:ascii="仿宋_GB2312" w:hAnsi="楷体" w:eastAsia="仿宋_GB2312"/>
          <w:b w:val="0"/>
          <w:spacing w:val="-4"/>
          <w:sz w:val="28"/>
          <w:szCs w:val="28"/>
          <w:lang w:val="en-US" w:eastAsia="zh-CN"/>
        </w:rPr>
        <w:t>与上年一致</w:t>
      </w:r>
      <w:r>
        <w:rPr>
          <w:rStyle w:val="16"/>
          <w:rFonts w:hint="eastAsia" w:ascii="仿宋_GB2312" w:hAnsi="楷体" w:eastAsia="仿宋_GB2312"/>
          <w:b w:val="0"/>
          <w:color w:val="auto"/>
          <w:spacing w:val="-4"/>
          <w:sz w:val="28"/>
          <w:szCs w:val="28"/>
        </w:rPr>
        <w:t>；</w:t>
      </w:r>
    </w:p>
    <w:p>
      <w:pPr>
        <w:spacing w:line="360" w:lineRule="auto"/>
        <w:ind w:firstLine="544" w:firstLineChars="200"/>
        <w:rPr>
          <w:rStyle w:val="16"/>
          <w:rFonts w:hint="eastAsia" w:ascii="仿宋_GB2312" w:hAnsi="楷体" w:eastAsia="仿宋_GB2312"/>
          <w:b w:val="0"/>
          <w:color w:val="auto"/>
          <w:spacing w:val="-4"/>
          <w:sz w:val="28"/>
          <w:szCs w:val="28"/>
          <w:lang w:val="en-US" w:eastAsia="zh-CN"/>
        </w:rPr>
      </w:pPr>
      <w:r>
        <w:rPr>
          <w:rStyle w:val="16"/>
          <w:rFonts w:hint="eastAsia" w:ascii="仿宋_GB2312" w:hAnsi="楷体" w:eastAsia="仿宋_GB2312"/>
          <w:b w:val="0"/>
          <w:color w:val="auto"/>
          <w:spacing w:val="-4"/>
          <w:sz w:val="28"/>
          <w:szCs w:val="28"/>
          <w:lang w:val="en-US" w:eastAsia="zh-CN"/>
        </w:rPr>
        <w:t>事业在职4人（</w:t>
      </w:r>
      <w:r>
        <w:rPr>
          <w:rStyle w:val="16"/>
          <w:rFonts w:hint="eastAsia" w:ascii="仿宋_GB2312" w:hAnsi="楷体" w:eastAsia="仿宋_GB2312"/>
          <w:b w:val="0"/>
          <w:spacing w:val="-4"/>
          <w:sz w:val="28"/>
          <w:szCs w:val="28"/>
        </w:rPr>
        <w:t>上年</w:t>
      </w:r>
      <w:r>
        <w:rPr>
          <w:rStyle w:val="16"/>
          <w:rFonts w:hint="eastAsia" w:ascii="仿宋_GB2312" w:hAnsi="楷体" w:eastAsia="仿宋_GB2312"/>
          <w:b w:val="0"/>
          <w:spacing w:val="-4"/>
          <w:sz w:val="28"/>
          <w:szCs w:val="28"/>
          <w:lang w:val="en-US" w:eastAsia="zh-CN"/>
        </w:rPr>
        <w:t>4</w:t>
      </w:r>
      <w:r>
        <w:rPr>
          <w:rStyle w:val="16"/>
          <w:rFonts w:hint="eastAsia" w:ascii="仿宋_GB2312" w:hAnsi="楷体" w:eastAsia="仿宋_GB2312"/>
          <w:b w:val="0"/>
          <w:spacing w:val="-4"/>
          <w:sz w:val="28"/>
          <w:szCs w:val="28"/>
        </w:rPr>
        <w:t>人</w:t>
      </w:r>
      <w:r>
        <w:rPr>
          <w:rStyle w:val="16"/>
          <w:rFonts w:hint="eastAsia" w:ascii="仿宋_GB2312" w:hAnsi="楷体" w:eastAsia="仿宋_GB2312"/>
          <w:b w:val="0"/>
          <w:color w:val="auto"/>
          <w:spacing w:val="-4"/>
          <w:sz w:val="28"/>
          <w:szCs w:val="28"/>
          <w:lang w:val="en-US" w:eastAsia="zh-CN"/>
        </w:rPr>
        <w:t>），</w:t>
      </w:r>
      <w:r>
        <w:rPr>
          <w:rStyle w:val="16"/>
          <w:rFonts w:hint="eastAsia" w:ascii="仿宋_GB2312" w:hAnsi="楷体" w:eastAsia="仿宋_GB2312"/>
          <w:b w:val="0"/>
          <w:spacing w:val="-4"/>
          <w:sz w:val="28"/>
          <w:szCs w:val="28"/>
          <w:lang w:val="en-US" w:eastAsia="zh-CN"/>
        </w:rPr>
        <w:t>与上年一致</w:t>
      </w:r>
      <w:r>
        <w:rPr>
          <w:rStyle w:val="16"/>
          <w:rFonts w:hint="eastAsia" w:ascii="仿宋_GB2312" w:hAnsi="楷体" w:eastAsia="仿宋_GB2312"/>
          <w:b w:val="0"/>
          <w:color w:val="auto"/>
          <w:spacing w:val="-4"/>
          <w:sz w:val="28"/>
          <w:szCs w:val="28"/>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color w:val="auto"/>
          <w:spacing w:val="-4"/>
          <w:sz w:val="28"/>
          <w:szCs w:val="28"/>
        </w:rPr>
        <w:t>实有</w:t>
      </w:r>
      <w:r>
        <w:rPr>
          <w:rStyle w:val="16"/>
          <w:rFonts w:hint="eastAsia" w:ascii="仿宋_GB2312" w:hAnsi="楷体" w:eastAsia="仿宋_GB2312"/>
          <w:b w:val="0"/>
          <w:color w:val="auto"/>
          <w:spacing w:val="-4"/>
          <w:sz w:val="28"/>
          <w:szCs w:val="28"/>
          <w:lang w:val="en-US" w:eastAsia="zh-CN"/>
        </w:rPr>
        <w:t>退</w:t>
      </w:r>
      <w:r>
        <w:rPr>
          <w:rStyle w:val="16"/>
          <w:rFonts w:hint="eastAsia" w:ascii="仿宋_GB2312" w:hAnsi="楷体" w:eastAsia="仿宋_GB2312"/>
          <w:b w:val="0"/>
          <w:color w:val="auto"/>
          <w:spacing w:val="-4"/>
          <w:sz w:val="28"/>
          <w:szCs w:val="28"/>
        </w:rPr>
        <w:t>休人员</w:t>
      </w:r>
      <w:r>
        <w:rPr>
          <w:rStyle w:val="16"/>
          <w:rFonts w:hint="eastAsia" w:ascii="仿宋_GB2312" w:hAnsi="楷体" w:eastAsia="仿宋_GB2312"/>
          <w:b w:val="0"/>
          <w:color w:val="auto"/>
          <w:spacing w:val="-4"/>
          <w:sz w:val="28"/>
          <w:szCs w:val="28"/>
          <w:lang w:val="en-US" w:eastAsia="zh-CN"/>
        </w:rPr>
        <w:t>11</w:t>
      </w:r>
      <w:r>
        <w:rPr>
          <w:rStyle w:val="16"/>
          <w:rFonts w:hint="eastAsia" w:ascii="仿宋_GB2312" w:hAnsi="楷体" w:eastAsia="仿宋_GB2312"/>
          <w:b w:val="0"/>
          <w:color w:val="auto"/>
          <w:spacing w:val="-4"/>
          <w:sz w:val="28"/>
          <w:szCs w:val="28"/>
        </w:rPr>
        <w:t>人（上年</w:t>
      </w:r>
      <w:r>
        <w:rPr>
          <w:rStyle w:val="16"/>
          <w:rFonts w:hint="eastAsia" w:ascii="仿宋_GB2312" w:hAnsi="楷体" w:eastAsia="仿宋_GB2312"/>
          <w:b w:val="0"/>
          <w:color w:val="auto"/>
          <w:spacing w:val="-4"/>
          <w:sz w:val="28"/>
          <w:szCs w:val="28"/>
          <w:lang w:val="en-US" w:eastAsia="zh-CN"/>
        </w:rPr>
        <w:t>10</w:t>
      </w:r>
      <w:r>
        <w:rPr>
          <w:rStyle w:val="16"/>
          <w:rFonts w:hint="eastAsia" w:ascii="仿宋_GB2312" w:hAnsi="楷体" w:eastAsia="仿宋_GB2312"/>
          <w:b w:val="0"/>
          <w:color w:val="auto"/>
          <w:spacing w:val="-4"/>
          <w:sz w:val="28"/>
          <w:szCs w:val="28"/>
        </w:rPr>
        <w:t>人）,</w:t>
      </w:r>
      <w:r>
        <w:rPr>
          <w:rFonts w:hint="eastAsia" w:ascii="仿宋_GB2312" w:hAnsi="楷体" w:eastAsia="仿宋_GB2312"/>
          <w:b/>
          <w:color w:val="auto"/>
          <w:spacing w:val="-4"/>
          <w:sz w:val="28"/>
          <w:szCs w:val="28"/>
        </w:rPr>
        <w:t xml:space="preserve"> </w:t>
      </w:r>
      <w:r>
        <w:rPr>
          <w:rStyle w:val="16"/>
          <w:rFonts w:hint="eastAsia" w:ascii="仿宋_GB2312" w:hAnsi="楷体" w:eastAsia="仿宋_GB2312"/>
          <w:b w:val="0"/>
          <w:color w:val="auto"/>
          <w:spacing w:val="-4"/>
          <w:sz w:val="28"/>
          <w:szCs w:val="28"/>
        </w:rPr>
        <w:t>同比上年增加</w:t>
      </w:r>
      <w:r>
        <w:rPr>
          <w:rStyle w:val="16"/>
          <w:rFonts w:hint="eastAsia" w:ascii="仿宋_GB2312" w:hAnsi="楷体" w:eastAsia="仿宋_GB2312"/>
          <w:b w:val="0"/>
          <w:color w:val="auto"/>
          <w:spacing w:val="-4"/>
          <w:sz w:val="28"/>
          <w:szCs w:val="28"/>
          <w:lang w:val="en-US" w:eastAsia="zh-CN"/>
        </w:rPr>
        <w:t>1</w:t>
      </w:r>
      <w:r>
        <w:rPr>
          <w:rStyle w:val="16"/>
          <w:rFonts w:hint="eastAsia" w:ascii="仿宋_GB2312" w:hAnsi="楷体" w:eastAsia="仿宋_GB2312"/>
          <w:b w:val="0"/>
          <w:color w:val="auto"/>
          <w:spacing w:val="-4"/>
          <w:sz w:val="28"/>
          <w:szCs w:val="28"/>
        </w:rPr>
        <w:t>人。</w:t>
      </w:r>
    </w:p>
    <w:p>
      <w:pPr>
        <w:pStyle w:val="6"/>
        <w:spacing w:line="360" w:lineRule="auto"/>
        <w:ind w:firstLine="562" w:firstLineChars="200"/>
        <w:rPr>
          <w:rStyle w:val="16"/>
          <w:rFonts w:ascii="仿宋" w:hAnsi="仿宋" w:eastAsia="仿宋"/>
          <w:b/>
          <w:bCs/>
        </w:rPr>
      </w:pPr>
      <w:bookmarkStart w:id="5" w:name="_Toc70450293"/>
      <w:r>
        <w:rPr>
          <w:rStyle w:val="16"/>
          <w:rFonts w:ascii="仿宋" w:hAnsi="仿宋" w:eastAsia="仿宋"/>
          <w:b/>
          <w:bCs/>
        </w:rPr>
        <w:t>3</w:t>
      </w:r>
      <w:r>
        <w:rPr>
          <w:rStyle w:val="16"/>
          <w:rFonts w:hint="eastAsia" w:ascii="仿宋" w:hAnsi="仿宋" w:eastAsia="仿宋"/>
          <w:b/>
          <w:bCs/>
        </w:rPr>
        <w:t>、重点工作计划</w:t>
      </w:r>
      <w:bookmarkEnd w:id="5"/>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1）特克斯县残疾人联合会整体支出工作，计划投入96.1万元，要完成保障全单位人员支出，及保障单位运转的目标落实惠残政策，建立返贫帮扶机制。深入我县28个贫困村，走访建档立卡贫困残疾户，扎实给残疾贫困户做好疫情防控、春耕生产、就业扶持、惠民政策宣传等工作。落实扶残助残项目，全力解决残疾人最关心、最直接、最现实的残疾人证办理、康复服务、重度残疾人无障碍改造、教育、就业、维权等问题，确保在全面建成小康社会的进程中残疾人一个都不会少。、促进残疾人就业，提高残疾人就业质量。促进公益性岗位优先安置残疾人就业，确保应届残疾大学毕业生就业率达100%，2021年完成公益性岗位安置残疾人就业30人。完成行政、企事业单位按比例安置残疾人就业情况的年度审核工作，未按比例安置残疾人就业的行政、企事业单位，按照规定缴纳残疾人就业保障金。</w:t>
      </w:r>
    </w:p>
    <w:p>
      <w:pPr>
        <w:pStyle w:val="5"/>
        <w:spacing w:line="360" w:lineRule="auto"/>
        <w:rPr>
          <w:rStyle w:val="16"/>
          <w:rFonts w:ascii="仿宋" w:hAnsi="仿宋" w:eastAsia="仿宋"/>
          <w:b/>
          <w:bCs/>
          <w:sz w:val="28"/>
          <w:szCs w:val="28"/>
        </w:rPr>
      </w:pPr>
      <w:bookmarkStart w:id="6" w:name="_Toc70450294"/>
      <w:r>
        <w:rPr>
          <w:rStyle w:val="16"/>
          <w:rFonts w:hint="eastAsia" w:ascii="仿宋" w:hAnsi="仿宋" w:eastAsia="仿宋"/>
          <w:b/>
          <w:bCs/>
          <w:sz w:val="28"/>
          <w:szCs w:val="28"/>
        </w:rPr>
        <w:t>（二）部门单位整体支出规模、</w:t>
      </w:r>
      <w:bookmarkStart w:id="7" w:name="_Hlk70339807"/>
      <w:r>
        <w:rPr>
          <w:rStyle w:val="16"/>
          <w:rFonts w:hint="eastAsia" w:ascii="仿宋" w:hAnsi="仿宋" w:eastAsia="仿宋"/>
          <w:b/>
          <w:bCs/>
          <w:sz w:val="28"/>
          <w:szCs w:val="28"/>
        </w:rPr>
        <w:t>使用方法和主要内容、涉及对象及范围等</w:t>
      </w:r>
      <w:bookmarkEnd w:id="6"/>
    </w:p>
    <w:bookmarkEnd w:id="7"/>
    <w:p>
      <w:pPr>
        <w:pStyle w:val="6"/>
        <w:spacing w:line="360" w:lineRule="auto"/>
        <w:ind w:firstLine="562" w:firstLineChars="200"/>
        <w:rPr>
          <w:rStyle w:val="16"/>
          <w:rFonts w:ascii="仿宋" w:hAnsi="仿宋" w:eastAsia="仿宋"/>
          <w:b/>
          <w:bCs/>
        </w:rPr>
      </w:pPr>
      <w:bookmarkStart w:id="8" w:name="_Toc70450295"/>
      <w:r>
        <w:rPr>
          <w:rStyle w:val="16"/>
          <w:rFonts w:hint="eastAsia" w:ascii="仿宋" w:hAnsi="仿宋" w:eastAsia="仿宋"/>
          <w:b/>
          <w:bCs/>
        </w:rPr>
        <w:t>1、部门单位整体支出规模</w:t>
      </w:r>
      <w:bookmarkEnd w:id="8"/>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2021年批复我单位预算为</w:t>
      </w:r>
      <w:r>
        <w:rPr>
          <w:rStyle w:val="16"/>
          <w:rFonts w:hint="eastAsia" w:ascii="仿宋_GB2312" w:hAnsi="楷体" w:eastAsia="仿宋_GB2312"/>
          <w:b w:val="0"/>
          <w:spacing w:val="-4"/>
          <w:sz w:val="28"/>
          <w:szCs w:val="28"/>
          <w:lang w:val="en-US" w:eastAsia="zh-CN"/>
        </w:rPr>
        <w:t>271.23</w:t>
      </w:r>
      <w:r>
        <w:rPr>
          <w:rStyle w:val="16"/>
          <w:rFonts w:hint="eastAsia" w:ascii="仿宋_GB2312" w:hAnsi="楷体" w:eastAsia="仿宋_GB2312"/>
          <w:b w:val="0"/>
          <w:spacing w:val="-4"/>
          <w:sz w:val="28"/>
          <w:szCs w:val="28"/>
        </w:rPr>
        <w:t>万元，其中：财政拨款为</w:t>
      </w:r>
      <w:r>
        <w:rPr>
          <w:rStyle w:val="16"/>
          <w:rFonts w:hint="eastAsia" w:ascii="仿宋_GB2312" w:hAnsi="楷体" w:eastAsia="仿宋_GB2312"/>
          <w:b w:val="0"/>
          <w:spacing w:val="-4"/>
          <w:sz w:val="28"/>
          <w:szCs w:val="28"/>
          <w:lang w:val="en-US" w:eastAsia="zh-CN"/>
        </w:rPr>
        <w:t>271.23</w:t>
      </w:r>
      <w:r>
        <w:rPr>
          <w:rStyle w:val="16"/>
          <w:rFonts w:hint="eastAsia" w:ascii="仿宋_GB2312" w:hAnsi="楷体" w:eastAsia="仿宋_GB2312"/>
          <w:b w:val="0"/>
          <w:spacing w:val="-4"/>
          <w:sz w:val="28"/>
          <w:szCs w:val="28"/>
        </w:rPr>
        <w:t>万元</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年中追加</w:t>
      </w:r>
      <w:r>
        <w:rPr>
          <w:rStyle w:val="16"/>
          <w:rFonts w:hint="eastAsia" w:ascii="仿宋_GB2312" w:hAnsi="楷体" w:eastAsia="仿宋_GB2312"/>
          <w:b w:val="0"/>
          <w:spacing w:val="-4"/>
          <w:sz w:val="28"/>
          <w:szCs w:val="28"/>
          <w:lang w:val="en-US" w:eastAsia="zh-CN"/>
        </w:rPr>
        <w:t>175.13</w:t>
      </w:r>
      <w:r>
        <w:rPr>
          <w:rStyle w:val="16"/>
          <w:rFonts w:hint="eastAsia" w:ascii="仿宋_GB2312" w:hAnsi="楷体" w:eastAsia="仿宋_GB2312"/>
          <w:b w:val="0"/>
          <w:spacing w:val="-4"/>
          <w:sz w:val="28"/>
          <w:szCs w:val="28"/>
        </w:rPr>
        <w:t>万元，调整率</w:t>
      </w:r>
      <w:r>
        <w:rPr>
          <w:rStyle w:val="16"/>
          <w:rFonts w:hint="eastAsia" w:ascii="仿宋_GB2312" w:hAnsi="楷体" w:eastAsia="仿宋_GB2312"/>
          <w:b w:val="0"/>
          <w:spacing w:val="-4"/>
          <w:sz w:val="28"/>
          <w:szCs w:val="28"/>
          <w:lang w:val="en-US" w:eastAsia="zh-CN"/>
        </w:rPr>
        <w:t>182.24</w:t>
      </w:r>
      <w:r>
        <w:rPr>
          <w:rStyle w:val="16"/>
          <w:rFonts w:hint="eastAsia" w:ascii="仿宋_GB2312" w:hAnsi="楷体" w:eastAsia="仿宋_GB2312"/>
          <w:b w:val="0"/>
          <w:spacing w:val="-4"/>
          <w:sz w:val="28"/>
          <w:szCs w:val="28"/>
        </w:rPr>
        <w:t>%。对比上年</w:t>
      </w:r>
      <w:r>
        <w:rPr>
          <w:rStyle w:val="16"/>
          <w:rFonts w:hint="eastAsia" w:ascii="仿宋_GB2312" w:hAnsi="楷体" w:eastAsia="仿宋_GB2312"/>
          <w:b w:val="0"/>
          <w:spacing w:val="-4"/>
          <w:sz w:val="28"/>
          <w:szCs w:val="28"/>
          <w:lang w:val="en-US" w:eastAsia="zh-CN"/>
        </w:rPr>
        <w:t>267.88</w:t>
      </w:r>
      <w:r>
        <w:rPr>
          <w:rStyle w:val="16"/>
          <w:rFonts w:hint="eastAsia" w:ascii="仿宋_GB2312" w:hAnsi="楷体" w:eastAsia="仿宋_GB2312"/>
          <w:b w:val="0"/>
          <w:spacing w:val="-4"/>
          <w:sz w:val="28"/>
          <w:szCs w:val="28"/>
        </w:rPr>
        <w:t>万元增加</w:t>
      </w:r>
      <w:r>
        <w:rPr>
          <w:rStyle w:val="16"/>
          <w:rFonts w:hint="eastAsia" w:ascii="仿宋_GB2312" w:hAnsi="楷体" w:eastAsia="仿宋_GB2312"/>
          <w:b w:val="0"/>
          <w:spacing w:val="-4"/>
          <w:sz w:val="28"/>
          <w:szCs w:val="28"/>
          <w:lang w:val="en-US" w:eastAsia="zh-CN"/>
        </w:rPr>
        <w:t>3.35</w:t>
      </w:r>
      <w:r>
        <w:rPr>
          <w:rStyle w:val="16"/>
          <w:rFonts w:hint="eastAsia" w:ascii="仿宋_GB2312" w:hAnsi="楷体" w:eastAsia="仿宋_GB2312"/>
          <w:b w:val="0"/>
          <w:spacing w:val="-4"/>
          <w:sz w:val="28"/>
          <w:szCs w:val="28"/>
        </w:rPr>
        <w:t>万元，上升</w:t>
      </w:r>
      <w:r>
        <w:rPr>
          <w:rStyle w:val="16"/>
          <w:rFonts w:hint="eastAsia" w:ascii="仿宋_GB2312" w:hAnsi="楷体" w:eastAsia="仿宋_GB2312"/>
          <w:b w:val="0"/>
          <w:spacing w:val="-4"/>
          <w:sz w:val="28"/>
          <w:szCs w:val="28"/>
          <w:lang w:val="en-US" w:eastAsia="zh-CN"/>
        </w:rPr>
        <w:t>1.25</w:t>
      </w:r>
      <w:r>
        <w:rPr>
          <w:rStyle w:val="16"/>
          <w:rFonts w:hint="eastAsia" w:ascii="仿宋_GB2312" w:hAnsi="楷体" w:eastAsia="仿宋_GB2312"/>
          <w:b w:val="0"/>
          <w:spacing w:val="-4"/>
          <w:sz w:val="28"/>
          <w:szCs w:val="28"/>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2021年实际决算支出</w:t>
      </w:r>
      <w:r>
        <w:rPr>
          <w:rStyle w:val="16"/>
          <w:rFonts w:hint="eastAsia" w:ascii="仿宋_GB2312" w:hAnsi="楷体" w:eastAsia="仿宋_GB2312"/>
          <w:b w:val="0"/>
          <w:spacing w:val="-4"/>
          <w:sz w:val="28"/>
          <w:szCs w:val="28"/>
          <w:lang w:val="en-US" w:eastAsia="zh-CN"/>
        </w:rPr>
        <w:t>271.23</w:t>
      </w:r>
      <w:r>
        <w:rPr>
          <w:rStyle w:val="16"/>
          <w:rFonts w:hint="eastAsia" w:ascii="仿宋_GB2312" w:hAnsi="楷体" w:eastAsia="仿宋_GB2312"/>
          <w:b w:val="0"/>
          <w:spacing w:val="-4"/>
          <w:sz w:val="28"/>
          <w:szCs w:val="28"/>
        </w:rPr>
        <w:t>万元，执行率</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%，其中：</w:t>
      </w:r>
    </w:p>
    <w:p>
      <w:pPr>
        <w:numPr>
          <w:ilvl w:val="0"/>
          <w:numId w:val="0"/>
        </w:num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lang w:val="en-US" w:eastAsia="zh-CN"/>
        </w:rPr>
        <w:t>1</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基本支出</w:t>
      </w:r>
      <w:r>
        <w:rPr>
          <w:rStyle w:val="16"/>
          <w:rFonts w:hint="eastAsia" w:ascii="仿宋_GB2312" w:hAnsi="楷体" w:eastAsia="仿宋_GB2312"/>
          <w:b w:val="0"/>
          <w:spacing w:val="-4"/>
          <w:sz w:val="28"/>
          <w:szCs w:val="28"/>
          <w:lang w:val="en-US" w:eastAsia="zh-CN"/>
        </w:rPr>
        <w:t>127.01</w:t>
      </w:r>
      <w:r>
        <w:rPr>
          <w:rStyle w:val="16"/>
          <w:rFonts w:hint="eastAsia" w:ascii="仿宋_GB2312" w:hAnsi="楷体" w:eastAsia="仿宋_GB2312"/>
          <w:b w:val="0"/>
          <w:spacing w:val="-4"/>
          <w:sz w:val="28"/>
          <w:szCs w:val="28"/>
        </w:rPr>
        <w:t>万元，占总支出的</w:t>
      </w:r>
      <w:r>
        <w:rPr>
          <w:rStyle w:val="16"/>
          <w:rFonts w:hint="eastAsia" w:ascii="仿宋_GB2312" w:hAnsi="楷体" w:eastAsia="仿宋_GB2312"/>
          <w:b w:val="0"/>
          <w:spacing w:val="-4"/>
          <w:sz w:val="28"/>
          <w:szCs w:val="28"/>
          <w:lang w:val="en-US" w:eastAsia="zh-CN"/>
        </w:rPr>
        <w:t>46.87</w:t>
      </w:r>
      <w:r>
        <w:rPr>
          <w:rStyle w:val="16"/>
          <w:rFonts w:hint="eastAsia" w:ascii="仿宋_GB2312" w:hAnsi="楷体" w:eastAsia="仿宋_GB2312"/>
          <w:b w:val="0"/>
          <w:spacing w:val="-4"/>
          <w:sz w:val="28"/>
          <w:szCs w:val="28"/>
        </w:rPr>
        <w:t>％，主要用于本单位机构正常运转、完成日常工作任务而发生的各项支出。其中：工资福利支出</w:t>
      </w:r>
      <w:r>
        <w:rPr>
          <w:rStyle w:val="16"/>
          <w:rFonts w:hint="eastAsia" w:ascii="仿宋_GB2312" w:hAnsi="楷体" w:eastAsia="仿宋_GB2312"/>
          <w:b w:val="0"/>
          <w:spacing w:val="-4"/>
          <w:sz w:val="28"/>
          <w:szCs w:val="28"/>
          <w:lang w:val="en-US" w:eastAsia="zh-CN"/>
        </w:rPr>
        <w:t>121.51</w:t>
      </w:r>
      <w:r>
        <w:rPr>
          <w:rStyle w:val="16"/>
          <w:rFonts w:hint="eastAsia" w:ascii="仿宋_GB2312" w:hAnsi="楷体" w:eastAsia="仿宋_GB2312"/>
          <w:b w:val="0"/>
          <w:spacing w:val="-4"/>
          <w:sz w:val="28"/>
          <w:szCs w:val="28"/>
        </w:rPr>
        <w:t>万元，主要用于在职和离退休人员基本工资、津贴补贴等人员经费。商品和服务支出</w:t>
      </w:r>
      <w:r>
        <w:rPr>
          <w:rStyle w:val="16"/>
          <w:rFonts w:hint="eastAsia" w:ascii="仿宋_GB2312" w:hAnsi="楷体" w:eastAsia="仿宋_GB2312"/>
          <w:b w:val="0"/>
          <w:spacing w:val="-4"/>
          <w:sz w:val="28"/>
          <w:szCs w:val="28"/>
          <w:lang w:val="en-US" w:eastAsia="zh-CN"/>
        </w:rPr>
        <w:t>1.33</w:t>
      </w:r>
      <w:r>
        <w:rPr>
          <w:rStyle w:val="16"/>
          <w:rFonts w:hint="eastAsia" w:ascii="仿宋_GB2312" w:hAnsi="楷体" w:eastAsia="仿宋_GB2312"/>
          <w:b w:val="0"/>
          <w:spacing w:val="-4"/>
          <w:sz w:val="28"/>
          <w:szCs w:val="28"/>
        </w:rPr>
        <w:t>万元，主要用于办公费、印刷费、水电费、办公设备购置等</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对个人和家庭的补助</w:t>
      </w:r>
      <w:r>
        <w:rPr>
          <w:rStyle w:val="16"/>
          <w:rFonts w:hint="eastAsia" w:ascii="仿宋_GB2312" w:hAnsi="楷体" w:eastAsia="仿宋_GB2312"/>
          <w:b w:val="0"/>
          <w:spacing w:val="-4"/>
          <w:sz w:val="28"/>
          <w:szCs w:val="28"/>
          <w:lang w:val="en-US" w:eastAsia="zh-CN"/>
        </w:rPr>
        <w:t>4.17</w:t>
      </w:r>
      <w:r>
        <w:rPr>
          <w:rStyle w:val="16"/>
          <w:rFonts w:hint="eastAsia" w:ascii="仿宋_GB2312" w:hAnsi="楷体" w:eastAsia="仿宋_GB2312"/>
          <w:b w:val="0"/>
          <w:spacing w:val="-4"/>
          <w:sz w:val="28"/>
          <w:szCs w:val="28"/>
        </w:rPr>
        <w:t>万元，主要用于</w:t>
      </w:r>
      <w:r>
        <w:rPr>
          <w:rStyle w:val="16"/>
          <w:rFonts w:hint="eastAsia" w:ascii="仿宋_GB2312" w:hAnsi="楷体" w:eastAsia="仿宋_GB2312"/>
          <w:b w:val="0"/>
          <w:spacing w:val="-4"/>
          <w:sz w:val="28"/>
          <w:szCs w:val="28"/>
          <w:lang w:val="en-US" w:eastAsia="zh-CN"/>
        </w:rPr>
        <w:t>退休人员生活补助、退休人员取暖费和独生子女补助</w:t>
      </w:r>
      <w:r>
        <w:rPr>
          <w:rStyle w:val="16"/>
          <w:rFonts w:hint="eastAsia" w:ascii="仿宋_GB2312" w:hAnsi="楷体" w:eastAsia="仿宋_GB2312"/>
          <w:b w:val="0"/>
          <w:spacing w:val="-4"/>
          <w:sz w:val="28"/>
          <w:szCs w:val="28"/>
        </w:rPr>
        <w:t>。资本性支出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w:t>
      </w:r>
    </w:p>
    <w:p>
      <w:pPr>
        <w:numPr>
          <w:ilvl w:val="0"/>
          <w:numId w:val="0"/>
        </w:numPr>
        <w:spacing w:line="360" w:lineRule="auto"/>
        <w:ind w:firstLine="544" w:firstLineChars="200"/>
        <w:rPr>
          <w:rStyle w:val="16"/>
          <w:rFonts w:hint="eastAsia" w:ascii="仿宋_GB2312" w:hAnsi="楷体" w:eastAsia="仿宋_GB2312"/>
          <w:b w:val="0"/>
          <w:spacing w:val="-4"/>
          <w:sz w:val="28"/>
          <w:szCs w:val="28"/>
          <w:lang w:eastAsia="zh-CN"/>
        </w:rPr>
      </w:pP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lang w:val="en-US" w:eastAsia="zh-CN"/>
        </w:rPr>
        <w:t>2</w:t>
      </w:r>
      <w:r>
        <w:rPr>
          <w:rStyle w:val="16"/>
          <w:rFonts w:hint="eastAsia" w:ascii="仿宋_GB2312" w:hAnsi="楷体" w:eastAsia="仿宋_GB2312"/>
          <w:b w:val="0"/>
          <w:spacing w:val="-4"/>
          <w:sz w:val="28"/>
          <w:szCs w:val="28"/>
          <w:lang w:eastAsia="zh-CN"/>
        </w:rPr>
        <w:t>）项目支出</w:t>
      </w:r>
      <w:r>
        <w:rPr>
          <w:rStyle w:val="16"/>
          <w:rFonts w:hint="eastAsia" w:ascii="仿宋_GB2312" w:hAnsi="楷体" w:eastAsia="仿宋_GB2312"/>
          <w:b w:val="0"/>
          <w:spacing w:val="-4"/>
          <w:sz w:val="28"/>
          <w:szCs w:val="28"/>
          <w:lang w:val="en-US" w:eastAsia="zh-CN"/>
        </w:rPr>
        <w:t>144.23</w:t>
      </w:r>
      <w:r>
        <w:rPr>
          <w:rStyle w:val="16"/>
          <w:rFonts w:hint="eastAsia" w:ascii="仿宋_GB2312" w:hAnsi="楷体" w:eastAsia="仿宋_GB2312"/>
          <w:b w:val="0"/>
          <w:spacing w:val="-4"/>
          <w:sz w:val="28"/>
          <w:szCs w:val="28"/>
          <w:lang w:eastAsia="zh-CN"/>
        </w:rPr>
        <w:t>万元，占总支出的</w:t>
      </w:r>
      <w:r>
        <w:rPr>
          <w:rStyle w:val="16"/>
          <w:rFonts w:hint="eastAsia" w:ascii="仿宋_GB2312" w:hAnsi="楷体" w:eastAsia="仿宋_GB2312"/>
          <w:b w:val="0"/>
          <w:spacing w:val="-4"/>
          <w:sz w:val="28"/>
          <w:szCs w:val="28"/>
          <w:lang w:val="en-US" w:eastAsia="zh-CN"/>
        </w:rPr>
        <w:t>53.22</w:t>
      </w:r>
      <w:r>
        <w:rPr>
          <w:rStyle w:val="16"/>
          <w:rFonts w:hint="eastAsia" w:ascii="仿宋_GB2312" w:hAnsi="楷体" w:eastAsia="仿宋_GB2312"/>
          <w:b w:val="0"/>
          <w:spacing w:val="-4"/>
          <w:sz w:val="28"/>
          <w:szCs w:val="28"/>
          <w:lang w:eastAsia="zh-CN"/>
        </w:rPr>
        <w:t>％。其中：</w:t>
      </w:r>
      <w:r>
        <w:rPr>
          <w:rStyle w:val="16"/>
          <w:rFonts w:hint="eastAsia" w:ascii="仿宋_GB2312" w:hAnsi="楷体" w:eastAsia="仿宋_GB2312"/>
          <w:b w:val="0"/>
          <w:spacing w:val="-4"/>
          <w:sz w:val="28"/>
          <w:szCs w:val="28"/>
          <w:lang w:val="en-US" w:eastAsia="zh-CN"/>
        </w:rPr>
        <w:t>2021年残疾人事业发展补助</w:t>
      </w:r>
      <w:r>
        <w:rPr>
          <w:rStyle w:val="16"/>
          <w:rFonts w:hint="eastAsia" w:ascii="仿宋_GB2312" w:hAnsi="楷体" w:eastAsia="仿宋_GB2312"/>
          <w:b w:val="0"/>
          <w:spacing w:val="-4"/>
          <w:sz w:val="28"/>
          <w:szCs w:val="28"/>
          <w:lang w:eastAsia="zh-CN"/>
        </w:rPr>
        <w:t>项目安排</w:t>
      </w:r>
      <w:r>
        <w:rPr>
          <w:rStyle w:val="16"/>
          <w:rFonts w:hint="eastAsia" w:ascii="仿宋_GB2312" w:hAnsi="楷体" w:eastAsia="仿宋_GB2312"/>
          <w:b w:val="0"/>
          <w:spacing w:val="-4"/>
          <w:sz w:val="28"/>
          <w:szCs w:val="28"/>
          <w:lang w:val="en-US" w:eastAsia="zh-CN"/>
        </w:rPr>
        <w:t>144.23</w:t>
      </w:r>
      <w:r>
        <w:rPr>
          <w:rStyle w:val="16"/>
          <w:rFonts w:hint="eastAsia" w:ascii="仿宋_GB2312" w:hAnsi="楷体" w:eastAsia="仿宋_GB2312"/>
          <w:b w:val="0"/>
          <w:spacing w:val="-4"/>
          <w:sz w:val="28"/>
          <w:szCs w:val="28"/>
          <w:lang w:eastAsia="zh-CN"/>
        </w:rPr>
        <w:t>万元，主要用于完成</w:t>
      </w:r>
      <w:r>
        <w:rPr>
          <w:rStyle w:val="16"/>
          <w:rFonts w:hint="eastAsia" w:ascii="仿宋_GB2312" w:hAnsi="楷体" w:eastAsia="仿宋_GB2312"/>
          <w:b w:val="0"/>
          <w:spacing w:val="-4"/>
          <w:sz w:val="28"/>
          <w:szCs w:val="28"/>
          <w:lang w:val="en-US" w:eastAsia="zh-CN"/>
        </w:rPr>
        <w:t>残疾人康复，精神病人吃药及残疾人技能培训</w:t>
      </w:r>
      <w:r>
        <w:rPr>
          <w:rStyle w:val="16"/>
          <w:rFonts w:hint="eastAsia" w:ascii="仿宋_GB2312" w:hAnsi="楷体" w:eastAsia="仿宋_GB2312"/>
          <w:b w:val="0"/>
          <w:spacing w:val="-4"/>
          <w:sz w:val="28"/>
          <w:szCs w:val="28"/>
          <w:lang w:eastAsia="zh-CN"/>
        </w:rPr>
        <w:t>。</w:t>
      </w:r>
    </w:p>
    <w:p>
      <w:pPr>
        <w:numPr>
          <w:ilvl w:val="0"/>
          <w:numId w:val="0"/>
        </w:numPr>
        <w:spacing w:line="360" w:lineRule="auto"/>
        <w:ind w:firstLine="544" w:firstLineChars="200"/>
        <w:rPr>
          <w:rStyle w:val="16"/>
          <w:rFonts w:asciiTheme="minorEastAsia" w:hAnsiTheme="minorEastAsia"/>
          <w:bCs w:val="0"/>
          <w:color w:val="FF0000"/>
          <w:spacing w:val="-4"/>
          <w:sz w:val="28"/>
          <w:szCs w:val="28"/>
        </w:rPr>
      </w:pPr>
      <w:r>
        <w:rPr>
          <w:rStyle w:val="16"/>
          <w:rFonts w:hint="eastAsia" w:ascii="仿宋_GB2312" w:hAnsi="楷体" w:eastAsia="仿宋_GB2312"/>
          <w:b w:val="0"/>
          <w:spacing w:val="-4"/>
          <w:sz w:val="28"/>
          <w:szCs w:val="28"/>
          <w:lang w:eastAsia="zh-CN"/>
        </w:rPr>
        <w:t>（3）本年度重点项目支出</w:t>
      </w:r>
      <w:r>
        <w:rPr>
          <w:rStyle w:val="16"/>
          <w:rFonts w:hint="eastAsia" w:ascii="仿宋_GB2312" w:hAnsi="楷体" w:eastAsia="仿宋_GB2312"/>
          <w:b w:val="0"/>
          <w:spacing w:val="-4"/>
          <w:sz w:val="28"/>
          <w:szCs w:val="28"/>
          <w:lang w:val="en-US" w:eastAsia="zh-CN"/>
        </w:rPr>
        <w:t>144.23</w:t>
      </w:r>
      <w:r>
        <w:rPr>
          <w:rStyle w:val="16"/>
          <w:rFonts w:hint="eastAsia" w:ascii="仿宋_GB2312" w:hAnsi="楷体" w:eastAsia="仿宋_GB2312"/>
          <w:b w:val="0"/>
          <w:spacing w:val="-4"/>
          <w:sz w:val="28"/>
          <w:szCs w:val="28"/>
          <w:lang w:eastAsia="zh-CN"/>
        </w:rPr>
        <w:t>万元，重点支出保障率</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lang w:eastAsia="zh-CN"/>
        </w:rPr>
        <w:t>%。其中重点保障项目是</w:t>
      </w:r>
      <w:r>
        <w:rPr>
          <w:rStyle w:val="16"/>
          <w:rFonts w:hint="eastAsia" w:ascii="仿宋_GB2312" w:hAnsi="楷体" w:eastAsia="仿宋_GB2312"/>
          <w:b w:val="0"/>
          <w:spacing w:val="-4"/>
          <w:sz w:val="28"/>
          <w:szCs w:val="28"/>
          <w:lang w:val="en-US" w:eastAsia="zh-CN"/>
        </w:rPr>
        <w:t>2021年残疾人事业发展补助</w:t>
      </w:r>
      <w:r>
        <w:rPr>
          <w:rStyle w:val="16"/>
          <w:rFonts w:hint="eastAsia" w:ascii="仿宋_GB2312" w:hAnsi="楷体" w:eastAsia="仿宋_GB2312"/>
          <w:b w:val="0"/>
          <w:spacing w:val="-4"/>
          <w:sz w:val="28"/>
          <w:szCs w:val="28"/>
          <w:lang w:eastAsia="zh-CN"/>
        </w:rPr>
        <w:t>项目。</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rPr>
        <w:t>（4）</w:t>
      </w:r>
      <w:r>
        <w:rPr>
          <w:rStyle w:val="16"/>
          <w:rFonts w:hint="eastAsia" w:ascii="仿宋_GB2312" w:hAnsi="楷体" w:eastAsia="仿宋_GB2312"/>
          <w:b w:val="0"/>
          <w:spacing w:val="-4"/>
          <w:sz w:val="28"/>
          <w:szCs w:val="28"/>
          <w:lang w:val="en-US" w:eastAsia="zh-CN"/>
        </w:rPr>
        <w:t>本年度我单位无政府采购预算。</w:t>
      </w:r>
    </w:p>
    <w:p>
      <w:pPr>
        <w:pStyle w:val="6"/>
        <w:spacing w:line="360" w:lineRule="auto"/>
        <w:ind w:firstLine="562" w:firstLineChars="200"/>
        <w:rPr>
          <w:rStyle w:val="16"/>
          <w:rFonts w:ascii="仿宋" w:hAnsi="仿宋" w:eastAsia="仿宋"/>
          <w:b/>
          <w:bCs/>
        </w:rPr>
      </w:pPr>
      <w:bookmarkStart w:id="9" w:name="_Toc70450296"/>
      <w:r>
        <w:rPr>
          <w:rStyle w:val="16"/>
          <w:rFonts w:ascii="仿宋" w:hAnsi="仿宋" w:eastAsia="仿宋"/>
          <w:b/>
          <w:bCs/>
        </w:rPr>
        <w:t>2</w:t>
      </w:r>
      <w:r>
        <w:rPr>
          <w:rStyle w:val="16"/>
          <w:rFonts w:hint="eastAsia" w:ascii="仿宋" w:hAnsi="仿宋" w:eastAsia="仿宋"/>
          <w:b/>
          <w:bCs/>
        </w:rPr>
        <w:t>、整体支出评价使用方法和主要内容、涉及对象及范围等</w:t>
      </w:r>
      <w:bookmarkEnd w:id="9"/>
    </w:p>
    <w:p>
      <w:pPr>
        <w:spacing w:line="360" w:lineRule="auto"/>
        <w:ind w:firstLine="560" w:firstLineChars="200"/>
        <w:rPr>
          <w:rStyle w:val="16"/>
          <w:rFonts w:ascii="仿宋_GB2312" w:eastAsia="仿宋_GB2312"/>
          <w:b w:val="0"/>
          <w:bCs w:val="0"/>
          <w:sz w:val="28"/>
          <w:szCs w:val="36"/>
        </w:rPr>
      </w:pPr>
      <w:r>
        <w:rPr>
          <w:rFonts w:hint="eastAsia" w:ascii="仿宋_GB2312" w:eastAsia="仿宋_GB2312"/>
          <w:sz w:val="28"/>
          <w:szCs w:val="36"/>
        </w:rPr>
        <w:t>（1）</w:t>
      </w:r>
      <w:r>
        <w:rPr>
          <w:rStyle w:val="16"/>
          <w:rFonts w:hint="eastAsia" w:ascii="仿宋_GB2312" w:eastAsia="仿宋_GB2312"/>
          <w:b w:val="0"/>
          <w:bCs w:val="0"/>
          <w:sz w:val="28"/>
          <w:szCs w:val="36"/>
        </w:rPr>
        <w:t>整体支出评价使用方法</w:t>
      </w:r>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本次部门特克斯县残疾人联合会整体支出绩效自评采用综合指数评价法方法，原因是：其最大优点不仅可以反应复杂的总体方向和程度，而且可以明确地、定量的说明整体绩效的效果。</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（2）整体支出评价主要内容</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1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①</w:t>
      </w:r>
      <w:r>
        <w:rPr>
          <w:rFonts w:ascii="仿宋_GB2312" w:eastAsia="仿宋_GB2312"/>
          <w:sz w:val="28"/>
          <w:szCs w:val="36"/>
        </w:rPr>
        <w:fldChar w:fldCharType="end"/>
      </w:r>
      <w:r>
        <w:rPr>
          <w:rFonts w:hint="eastAsia" w:ascii="仿宋_GB2312" w:eastAsia="仿宋_GB2312"/>
          <w:sz w:val="28"/>
          <w:szCs w:val="36"/>
        </w:rPr>
        <w:t>绩效目标的设定情况。重点评价绩效目标设立的充分性、明确性、合理性以及细化程度。</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2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②</w:t>
      </w:r>
      <w:r>
        <w:rPr>
          <w:rFonts w:ascii="仿宋_GB2312" w:eastAsia="仿宋_GB2312"/>
          <w:sz w:val="28"/>
          <w:szCs w:val="36"/>
        </w:rPr>
        <w:fldChar w:fldCharType="end"/>
      </w:r>
      <w:r>
        <w:rPr>
          <w:rFonts w:hint="eastAsia" w:ascii="仿宋_GB2312" w:eastAsia="仿宋_GB2312"/>
          <w:sz w:val="28"/>
          <w:szCs w:val="36"/>
        </w:rPr>
        <w:t>资金投入和使用情况。重点评价资金分配过程、投入方式、资金到位、预算执行和结果。</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3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③</w:t>
      </w:r>
      <w:r>
        <w:rPr>
          <w:rFonts w:ascii="仿宋_GB2312" w:eastAsia="仿宋_GB2312"/>
          <w:sz w:val="28"/>
          <w:szCs w:val="36"/>
        </w:rPr>
        <w:fldChar w:fldCharType="end"/>
      </w:r>
      <w:r>
        <w:rPr>
          <w:rFonts w:hint="eastAsia" w:ascii="仿宋_GB2312" w:eastAsia="仿宋_GB2312"/>
          <w:sz w:val="28"/>
          <w:szCs w:val="36"/>
        </w:rPr>
        <w:t>为实现绩效目标制定的制度、采取的措施等。包括项目管理制度、财务管理制度、资产管理制度和绩效跟踪管理措施等。</w:t>
      </w:r>
    </w:p>
    <w:p>
      <w:pPr>
        <w:spacing w:line="360" w:lineRule="auto"/>
        <w:ind w:firstLine="560" w:firstLineChars="200"/>
        <w:rPr>
          <w:rStyle w:val="16"/>
          <w:rFonts w:ascii="仿宋_GB2312" w:eastAsia="仿宋_GB2312"/>
          <w:b w:val="0"/>
          <w:bCs w:val="0"/>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4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④</w:t>
      </w:r>
      <w:r>
        <w:rPr>
          <w:rFonts w:ascii="仿宋_GB2312" w:eastAsia="仿宋_GB2312"/>
          <w:sz w:val="28"/>
          <w:szCs w:val="36"/>
        </w:rPr>
        <w:fldChar w:fldCharType="end"/>
      </w:r>
      <w:r>
        <w:rPr>
          <w:rFonts w:hint="eastAsia" w:ascii="仿宋_GB2312" w:eastAsia="仿宋_GB2312"/>
          <w:sz w:val="28"/>
          <w:szCs w:val="36"/>
        </w:rPr>
        <w:t>绩效目标的实现程度和效果。绩效目标的实现程度包括产出数量、产出质量、产出时效和产出成本。效果包括经济效益、社会效益、生态效益、可持续影响以及服务对象满意度等。</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（3）整体支出评价涉及对象及范围</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涉及对象：</w:t>
      </w:r>
      <w:r>
        <w:rPr>
          <w:rFonts w:hint="eastAsia" w:ascii="仿宋_GB2312" w:eastAsia="仿宋_GB2312"/>
          <w:sz w:val="28"/>
          <w:szCs w:val="36"/>
        </w:rPr>
        <w:t>本次评价对象是</w:t>
      </w:r>
      <w:r>
        <w:rPr>
          <w:rFonts w:hint="eastAsia" w:ascii="仿宋_GB2312" w:eastAsia="仿宋_GB2312"/>
          <w:sz w:val="28"/>
          <w:szCs w:val="36"/>
          <w:lang w:val="en-US" w:eastAsia="zh-CN"/>
        </w:rPr>
        <w:t>特克斯县残疾人联合会</w:t>
      </w:r>
      <w:r>
        <w:rPr>
          <w:rFonts w:hint="eastAsia" w:ascii="仿宋_GB2312" w:eastAsia="仿宋_GB2312"/>
          <w:sz w:val="28"/>
          <w:szCs w:val="36"/>
        </w:rPr>
        <w:t>所有财政资金支出活动。</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整体支出评价范围：</w:t>
      </w:r>
    </w:p>
    <w:p>
      <w:pPr>
        <w:spacing w:line="360" w:lineRule="auto"/>
        <w:ind w:firstLine="544" w:firstLineChars="200"/>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fldChar w:fldCharType="begin"/>
      </w:r>
      <w:r>
        <w:rPr>
          <w:rStyle w:val="16"/>
          <w:rFonts w:ascii="仿宋_GB2312" w:hAnsi="楷体" w:eastAsia="仿宋_GB2312"/>
          <w:b w:val="0"/>
          <w:spacing w:val="-4"/>
          <w:sz w:val="28"/>
          <w:szCs w:val="28"/>
        </w:rPr>
        <w:instrText xml:space="preserve"> </w:instrText>
      </w:r>
      <w:r>
        <w:rPr>
          <w:rStyle w:val="16"/>
          <w:rFonts w:hint="eastAsia" w:ascii="仿宋_GB2312" w:hAnsi="楷体" w:eastAsia="仿宋_GB2312"/>
          <w:b w:val="0"/>
          <w:spacing w:val="-4"/>
          <w:sz w:val="28"/>
          <w:szCs w:val="28"/>
        </w:rPr>
        <w:instrText xml:space="preserve">= 1 \* GB3</w:instrText>
      </w:r>
      <w:r>
        <w:rPr>
          <w:rStyle w:val="16"/>
          <w:rFonts w:ascii="仿宋_GB2312" w:hAnsi="楷体" w:eastAsia="仿宋_GB2312"/>
          <w:b w:val="0"/>
          <w:spacing w:val="-4"/>
          <w:sz w:val="28"/>
          <w:szCs w:val="28"/>
        </w:rPr>
        <w:instrText xml:space="preserve"> </w:instrText>
      </w:r>
      <w:r>
        <w:rPr>
          <w:rStyle w:val="16"/>
          <w:rFonts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①</w:t>
      </w:r>
      <w:r>
        <w:rPr>
          <w:rStyle w:val="16"/>
          <w:rFonts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基本支出</w:t>
      </w:r>
      <w:r>
        <w:rPr>
          <w:rStyle w:val="16"/>
          <w:rFonts w:hint="eastAsia" w:ascii="仿宋_GB2312" w:hAnsi="楷体" w:eastAsia="仿宋_GB2312"/>
          <w:b w:val="0"/>
          <w:spacing w:val="-4"/>
          <w:sz w:val="28"/>
          <w:szCs w:val="28"/>
          <w:lang w:val="en-US" w:eastAsia="zh-CN"/>
        </w:rPr>
        <w:t>127.01</w:t>
      </w:r>
      <w:r>
        <w:rPr>
          <w:rStyle w:val="16"/>
          <w:rFonts w:hint="eastAsia" w:ascii="仿宋_GB2312" w:hAnsi="楷体" w:eastAsia="仿宋_GB2312"/>
          <w:b w:val="0"/>
          <w:spacing w:val="-4"/>
          <w:sz w:val="28"/>
          <w:szCs w:val="28"/>
        </w:rPr>
        <w:t>万元，其中：工资福利支出、商品和服务支出、对个人和家庭的补助支出。</w:t>
      </w:r>
    </w:p>
    <w:p>
      <w:pPr>
        <w:spacing w:line="360" w:lineRule="auto"/>
        <w:ind w:firstLine="492" w:firstLineChars="181"/>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fldChar w:fldCharType="begin"/>
      </w:r>
      <w:r>
        <w:rPr>
          <w:rStyle w:val="16"/>
          <w:rFonts w:ascii="仿宋_GB2312" w:hAnsi="楷体" w:eastAsia="仿宋_GB2312"/>
          <w:b w:val="0"/>
          <w:spacing w:val="-4"/>
          <w:sz w:val="28"/>
          <w:szCs w:val="28"/>
        </w:rPr>
        <w:instrText xml:space="preserve"> </w:instrText>
      </w:r>
      <w:r>
        <w:rPr>
          <w:rStyle w:val="16"/>
          <w:rFonts w:hint="eastAsia" w:ascii="仿宋_GB2312" w:hAnsi="楷体" w:eastAsia="仿宋_GB2312"/>
          <w:b w:val="0"/>
          <w:spacing w:val="-4"/>
          <w:sz w:val="28"/>
          <w:szCs w:val="28"/>
        </w:rPr>
        <w:instrText xml:space="preserve">= 2 \* GB3</w:instrText>
      </w:r>
      <w:r>
        <w:rPr>
          <w:rStyle w:val="16"/>
          <w:rFonts w:ascii="仿宋_GB2312" w:hAnsi="楷体" w:eastAsia="仿宋_GB2312"/>
          <w:b w:val="0"/>
          <w:spacing w:val="-4"/>
          <w:sz w:val="28"/>
          <w:szCs w:val="28"/>
        </w:rPr>
        <w:instrText xml:space="preserve"> </w:instrText>
      </w:r>
      <w:r>
        <w:rPr>
          <w:rStyle w:val="16"/>
          <w:rFonts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②</w:t>
      </w:r>
      <w:r>
        <w:rPr>
          <w:rStyle w:val="16"/>
          <w:rFonts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项目支出</w:t>
      </w:r>
      <w:r>
        <w:rPr>
          <w:rStyle w:val="16"/>
          <w:rFonts w:hint="eastAsia" w:ascii="仿宋_GB2312" w:hAnsi="楷体" w:eastAsia="仿宋_GB2312"/>
          <w:b w:val="0"/>
          <w:spacing w:val="-4"/>
          <w:sz w:val="28"/>
          <w:szCs w:val="28"/>
          <w:lang w:val="en-US" w:eastAsia="zh-CN"/>
        </w:rPr>
        <w:t>144.23</w:t>
      </w:r>
      <w:r>
        <w:rPr>
          <w:rStyle w:val="16"/>
          <w:rFonts w:hint="eastAsia" w:ascii="仿宋_GB2312" w:hAnsi="楷体" w:eastAsia="仿宋_GB2312"/>
          <w:b w:val="0"/>
          <w:spacing w:val="-4"/>
          <w:sz w:val="28"/>
          <w:szCs w:val="28"/>
        </w:rPr>
        <w:t>万元：</w:t>
      </w:r>
      <w:r>
        <w:rPr>
          <w:rStyle w:val="16"/>
          <w:rFonts w:hint="eastAsia" w:ascii="仿宋_GB2312" w:hAnsi="楷体" w:eastAsia="仿宋_GB2312"/>
          <w:b w:val="0"/>
          <w:spacing w:val="-4"/>
          <w:sz w:val="28"/>
          <w:szCs w:val="28"/>
          <w:lang w:val="en-US" w:eastAsia="zh-CN"/>
        </w:rPr>
        <w:t>2021年残疾人事业发展补助</w:t>
      </w:r>
      <w:r>
        <w:rPr>
          <w:rStyle w:val="16"/>
          <w:rFonts w:hint="eastAsia" w:ascii="仿宋_GB2312" w:hAnsi="楷体" w:eastAsia="仿宋_GB2312"/>
          <w:b w:val="0"/>
          <w:spacing w:val="-4"/>
          <w:sz w:val="28"/>
          <w:szCs w:val="28"/>
        </w:rPr>
        <w:t>项目</w:t>
      </w:r>
    </w:p>
    <w:p>
      <w:pPr>
        <w:spacing w:line="360" w:lineRule="auto"/>
        <w:ind w:firstLine="544" w:firstLineChars="200"/>
        <w:rPr>
          <w:rStyle w:val="16"/>
          <w:rFonts w:ascii="仿宋_GB2312" w:hAnsi="楷体" w:eastAsia="仿宋_GB2312"/>
          <w:b w:val="0"/>
          <w:spacing w:val="-4"/>
          <w:sz w:val="28"/>
          <w:szCs w:val="28"/>
        </w:rPr>
      </w:pPr>
    </w:p>
    <w:p>
      <w:pPr>
        <w:pStyle w:val="4"/>
        <w:spacing w:line="360" w:lineRule="auto"/>
        <w:rPr>
          <w:rFonts w:ascii="仿宋" w:hAnsi="仿宋" w:eastAsia="仿宋"/>
          <w:sz w:val="36"/>
          <w:szCs w:val="36"/>
          <w:lang w:bidi="ar"/>
        </w:rPr>
      </w:pPr>
      <w:bookmarkStart w:id="10" w:name="_Toc70450297"/>
      <w:r>
        <w:rPr>
          <w:rFonts w:hint="eastAsia" w:ascii="仿宋" w:hAnsi="仿宋" w:eastAsia="仿宋"/>
          <w:sz w:val="36"/>
          <w:szCs w:val="36"/>
          <w:lang w:bidi="ar"/>
        </w:rPr>
        <w:t>二、部门单位整体支出管理及使用情况</w:t>
      </w:r>
      <w:bookmarkEnd w:id="10"/>
    </w:p>
    <w:p>
      <w:pPr>
        <w:pStyle w:val="5"/>
        <w:spacing w:line="360" w:lineRule="auto"/>
        <w:rPr>
          <w:rStyle w:val="16"/>
          <w:rFonts w:ascii="仿宋" w:hAnsi="仿宋" w:eastAsia="仿宋"/>
          <w:b/>
          <w:bCs/>
        </w:rPr>
      </w:pPr>
      <w:bookmarkStart w:id="11" w:name="_Toc70450298"/>
      <w:r>
        <w:rPr>
          <w:rStyle w:val="16"/>
          <w:rFonts w:hint="eastAsia" w:ascii="仿宋" w:hAnsi="仿宋" w:eastAsia="仿宋"/>
          <w:b/>
          <w:bCs/>
        </w:rPr>
        <w:t>（一）预算管理</w:t>
      </w:r>
      <w:bookmarkEnd w:id="11"/>
    </w:p>
    <w:p>
      <w:pPr>
        <w:pStyle w:val="6"/>
        <w:spacing w:line="360" w:lineRule="auto"/>
        <w:ind w:firstLine="562" w:firstLineChars="200"/>
        <w:rPr>
          <w:rStyle w:val="16"/>
          <w:rFonts w:ascii="仿宋" w:hAnsi="仿宋" w:eastAsia="仿宋"/>
          <w:b/>
          <w:bCs/>
        </w:rPr>
      </w:pPr>
      <w:bookmarkStart w:id="12" w:name="_Toc70450299"/>
      <w:r>
        <w:rPr>
          <w:rStyle w:val="16"/>
          <w:rFonts w:ascii="仿宋" w:hAnsi="仿宋" w:eastAsia="仿宋"/>
          <w:b/>
          <w:bCs/>
        </w:rPr>
        <w:t>1</w:t>
      </w:r>
      <w:r>
        <w:rPr>
          <w:rStyle w:val="16"/>
          <w:rFonts w:hint="eastAsia" w:ascii="仿宋" w:hAnsi="仿宋" w:eastAsia="仿宋"/>
          <w:b/>
          <w:bCs/>
        </w:rPr>
        <w:t>、预算编制管理</w:t>
      </w:r>
      <w:bookmarkEnd w:id="12"/>
    </w:p>
    <w:p>
      <w:pPr>
        <w:spacing w:line="360" w:lineRule="auto"/>
        <w:ind w:firstLine="506" w:firstLineChars="181"/>
        <w:rPr>
          <w:rStyle w:val="16"/>
          <w:rFonts w:asciiTheme="minorEastAsia" w:hAnsiTheme="minorEastAsia"/>
          <w:color w:val="FF0000"/>
          <w:spacing w:val="-4"/>
          <w:sz w:val="28"/>
          <w:szCs w:val="28"/>
        </w:rPr>
      </w:pPr>
      <w:r>
        <w:rPr>
          <w:rFonts w:hint="eastAsia" w:ascii="仿宋_GB2312" w:eastAsia="仿宋_GB2312"/>
          <w:sz w:val="28"/>
          <w:szCs w:val="36"/>
        </w:rPr>
        <w:t>我单位严格按照财政部门预算编制与预算调整的工作要求，在预算编制、分配依据充分的条件下，切实做好“先定目标再编预算”，确保预算分配结果合理。同时按照</w:t>
      </w:r>
      <w:r>
        <w:rPr>
          <w:rFonts w:hint="eastAsia" w:ascii="仿宋_GB2312" w:eastAsia="仿宋_GB2312"/>
          <w:sz w:val="28"/>
          <w:szCs w:val="36"/>
          <w:lang w:val="en-US" w:eastAsia="zh-CN"/>
        </w:rPr>
        <w:t>财政局</w:t>
      </w:r>
      <w:r>
        <w:rPr>
          <w:rFonts w:hint="eastAsia" w:ascii="仿宋_GB2312" w:eastAsia="仿宋_GB2312"/>
          <w:sz w:val="28"/>
          <w:szCs w:val="36"/>
        </w:rPr>
        <w:t>要求，部门预算及绩效目标在</w:t>
      </w:r>
      <w:r>
        <w:rPr>
          <w:rFonts w:hint="eastAsia" w:ascii="仿宋_GB2312" w:eastAsia="仿宋_GB2312"/>
          <w:sz w:val="28"/>
          <w:szCs w:val="36"/>
          <w:lang w:val="en-US" w:eastAsia="zh-CN"/>
        </w:rPr>
        <w:t>特克斯县政府信息网</w:t>
      </w:r>
      <w:r>
        <w:rPr>
          <w:rFonts w:hint="eastAsia" w:ascii="仿宋_GB2312" w:eastAsia="仿宋_GB2312"/>
          <w:sz w:val="28"/>
          <w:szCs w:val="36"/>
        </w:rPr>
        <w:t>公开，</w:t>
      </w:r>
      <w:r>
        <w:rPr>
          <w:rFonts w:ascii="仿宋_GB2312" w:eastAsia="仿宋_GB2312"/>
          <w:sz w:val="28"/>
          <w:szCs w:val="36"/>
          <w:lang w:val="zh-CN"/>
        </w:rPr>
        <w:t>广泛接受社会监督</w:t>
      </w:r>
      <w:r>
        <w:rPr>
          <w:rFonts w:hint="eastAsia" w:ascii="仿宋_GB2312" w:eastAsia="仿宋_GB2312"/>
          <w:sz w:val="28"/>
          <w:szCs w:val="36"/>
          <w:lang w:val="zh-CN"/>
        </w:rPr>
        <w:t>。</w:t>
      </w:r>
    </w:p>
    <w:p>
      <w:pPr>
        <w:pStyle w:val="6"/>
        <w:spacing w:line="360" w:lineRule="auto"/>
        <w:ind w:firstLine="562" w:firstLineChars="200"/>
        <w:rPr>
          <w:rStyle w:val="16"/>
          <w:rFonts w:ascii="仿宋" w:hAnsi="仿宋" w:eastAsia="仿宋"/>
          <w:b/>
          <w:bCs/>
        </w:rPr>
      </w:pPr>
      <w:bookmarkStart w:id="13" w:name="_Toc70450300"/>
      <w:r>
        <w:rPr>
          <w:rStyle w:val="16"/>
          <w:rFonts w:hint="eastAsia" w:ascii="仿宋" w:hAnsi="仿宋" w:eastAsia="仿宋"/>
          <w:b/>
          <w:bCs/>
        </w:rPr>
        <w:t>2</w:t>
      </w:r>
      <w:r>
        <w:rPr>
          <w:rStyle w:val="16"/>
          <w:rFonts w:ascii="仿宋" w:hAnsi="仿宋" w:eastAsia="仿宋"/>
          <w:b/>
          <w:bCs/>
        </w:rPr>
        <w:t>、预算</w:t>
      </w:r>
      <w:r>
        <w:rPr>
          <w:rStyle w:val="16"/>
          <w:rFonts w:hint="eastAsia" w:ascii="仿宋" w:hAnsi="仿宋" w:eastAsia="仿宋"/>
          <w:b/>
          <w:bCs/>
        </w:rPr>
        <w:t>支出</w:t>
      </w:r>
      <w:r>
        <w:rPr>
          <w:rStyle w:val="16"/>
          <w:rFonts w:ascii="仿宋" w:hAnsi="仿宋" w:eastAsia="仿宋"/>
          <w:b/>
          <w:bCs/>
        </w:rPr>
        <w:t>管理</w:t>
      </w:r>
      <w:bookmarkEnd w:id="13"/>
    </w:p>
    <w:p>
      <w:pPr>
        <w:spacing w:line="360" w:lineRule="auto"/>
        <w:ind w:firstLine="560" w:firstLineChars="200"/>
        <w:rPr>
          <w:rStyle w:val="16"/>
          <w:b w:val="0"/>
          <w:bCs w:val="0"/>
        </w:rPr>
      </w:pPr>
      <w:r>
        <w:rPr>
          <w:rFonts w:hint="eastAsia" w:ascii="仿宋_GB2312" w:eastAsia="仿宋_GB2312"/>
          <w:sz w:val="28"/>
          <w:szCs w:val="36"/>
        </w:rPr>
        <w:t>我单位按照财政要求基本支出分月由财政部门按照进度每月按期拨付，人员支出按照工资计划发放工度申报资金使用计划，资；依照</w:t>
      </w:r>
      <w:r>
        <w:rPr>
          <w:rFonts w:hint="eastAsia" w:ascii="仿宋_GB2312" w:eastAsia="仿宋_GB2312"/>
          <w:sz w:val="28"/>
          <w:szCs w:val="36"/>
          <w:lang w:val="en-US" w:eastAsia="zh-CN"/>
        </w:rPr>
        <w:t>特克斯县财政局</w:t>
      </w:r>
      <w:r>
        <w:rPr>
          <w:rFonts w:hint="eastAsia" w:ascii="仿宋_GB2312" w:eastAsia="仿宋_GB2312"/>
          <w:sz w:val="28"/>
          <w:szCs w:val="36"/>
        </w:rPr>
        <w:t>相关规定和</w:t>
      </w:r>
      <w:r>
        <w:rPr>
          <w:rFonts w:hint="eastAsia" w:ascii="仿宋_GB2312" w:eastAsia="仿宋_GB2312"/>
          <w:sz w:val="28"/>
          <w:szCs w:val="36"/>
          <w:lang w:val="en-US" w:eastAsia="zh-CN"/>
        </w:rPr>
        <w:t>特克斯县财政局</w:t>
      </w:r>
      <w:r>
        <w:rPr>
          <w:rFonts w:hint="eastAsia" w:ascii="仿宋_GB2312" w:eastAsia="仿宋_GB2312"/>
          <w:sz w:val="28"/>
          <w:szCs w:val="36"/>
        </w:rPr>
        <w:t>规定流程，资金支出按照我内控体系中设定的流程申报审批进行；项目支出属于政府采购的，按照</w:t>
      </w:r>
      <w:r>
        <w:rPr>
          <w:rFonts w:hint="eastAsia" w:ascii="仿宋_GB2312" w:eastAsia="仿宋_GB2312"/>
          <w:sz w:val="28"/>
          <w:szCs w:val="36"/>
          <w:lang w:val="en-US" w:eastAsia="zh-CN"/>
        </w:rPr>
        <w:t>特克斯县政府采购中心</w:t>
      </w:r>
      <w:r>
        <w:rPr>
          <w:rFonts w:hint="eastAsia" w:ascii="仿宋_GB2312" w:eastAsia="仿宋_GB2312"/>
          <w:sz w:val="28"/>
          <w:szCs w:val="36"/>
        </w:rPr>
        <w:t>《</w:t>
      </w:r>
      <w:r>
        <w:rPr>
          <w:rFonts w:hint="eastAsia" w:ascii="仿宋_GB2312" w:eastAsia="仿宋_GB2312"/>
          <w:sz w:val="28"/>
          <w:szCs w:val="36"/>
          <w:lang w:val="en-US" w:eastAsia="zh-CN"/>
        </w:rPr>
        <w:t>特克斯县</w:t>
      </w:r>
      <w:r>
        <w:rPr>
          <w:rFonts w:hint="eastAsia" w:ascii="仿宋_GB2312" w:eastAsia="仿宋_GB2312"/>
          <w:sz w:val="28"/>
          <w:szCs w:val="36"/>
        </w:rPr>
        <w:t>采购与招标管理办法》组织人员制定采购计划，按照财政局采购部门批复，进行公开招标、邀请招标等方式进行；属于非政府采购的项目，按照“三重一大”制度规定，重大项目支出上党组会研究决定。</w:t>
      </w:r>
    </w:p>
    <w:p>
      <w:pPr>
        <w:pStyle w:val="5"/>
        <w:spacing w:line="360" w:lineRule="auto"/>
        <w:rPr>
          <w:rStyle w:val="16"/>
          <w:b/>
          <w:bCs/>
          <w:sz w:val="28"/>
          <w:szCs w:val="28"/>
        </w:rPr>
      </w:pPr>
      <w:bookmarkStart w:id="14" w:name="_Toc70450301"/>
      <w:r>
        <w:rPr>
          <w:rStyle w:val="16"/>
          <w:rFonts w:hint="eastAsia"/>
          <w:b/>
          <w:bCs/>
          <w:sz w:val="28"/>
          <w:szCs w:val="28"/>
        </w:rPr>
        <w:t>（二）基本支出管理及使用情况</w:t>
      </w:r>
      <w:bookmarkEnd w:id="14"/>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2021年基本支出预算安排</w:t>
      </w:r>
      <w:r>
        <w:rPr>
          <w:rStyle w:val="16"/>
          <w:rFonts w:hint="eastAsia" w:ascii="仿宋_GB2312" w:hAnsi="楷体" w:eastAsia="仿宋_GB2312"/>
          <w:b w:val="0"/>
          <w:spacing w:val="-4"/>
          <w:sz w:val="28"/>
          <w:szCs w:val="28"/>
          <w:lang w:val="en-US" w:eastAsia="zh-CN"/>
        </w:rPr>
        <w:t>127.01</w:t>
      </w:r>
      <w:r>
        <w:rPr>
          <w:rStyle w:val="16"/>
          <w:rFonts w:hint="eastAsia" w:ascii="仿宋_GB2312" w:hAnsi="楷体" w:eastAsia="仿宋_GB2312"/>
          <w:b w:val="0"/>
          <w:spacing w:val="-4"/>
          <w:sz w:val="28"/>
          <w:szCs w:val="28"/>
        </w:rPr>
        <w:t>万元，实际到位</w:t>
      </w:r>
      <w:r>
        <w:rPr>
          <w:rStyle w:val="16"/>
          <w:rFonts w:hint="eastAsia" w:ascii="仿宋_GB2312" w:hAnsi="楷体" w:eastAsia="仿宋_GB2312"/>
          <w:b w:val="0"/>
          <w:spacing w:val="-4"/>
          <w:sz w:val="28"/>
          <w:szCs w:val="28"/>
          <w:lang w:val="en-US" w:eastAsia="zh-CN"/>
        </w:rPr>
        <w:t>127.01</w:t>
      </w:r>
      <w:r>
        <w:rPr>
          <w:rStyle w:val="16"/>
          <w:rFonts w:hint="eastAsia" w:ascii="仿宋_GB2312" w:hAnsi="楷体" w:eastAsia="仿宋_GB2312"/>
          <w:b w:val="0"/>
          <w:spacing w:val="-4"/>
          <w:sz w:val="28"/>
          <w:szCs w:val="28"/>
        </w:rPr>
        <w:t>万元,实际支出</w:t>
      </w:r>
      <w:r>
        <w:rPr>
          <w:rStyle w:val="16"/>
          <w:rFonts w:hint="eastAsia" w:ascii="仿宋_GB2312" w:hAnsi="楷体" w:eastAsia="仿宋_GB2312"/>
          <w:b w:val="0"/>
          <w:spacing w:val="-4"/>
          <w:sz w:val="28"/>
          <w:szCs w:val="28"/>
          <w:lang w:val="en-US" w:eastAsia="zh-CN"/>
        </w:rPr>
        <w:t>127.01</w:t>
      </w:r>
      <w:r>
        <w:rPr>
          <w:rStyle w:val="16"/>
          <w:rFonts w:hint="eastAsia" w:ascii="仿宋_GB2312" w:hAnsi="楷体" w:eastAsia="仿宋_GB2312"/>
          <w:b w:val="0"/>
          <w:spacing w:val="-4"/>
          <w:sz w:val="28"/>
          <w:szCs w:val="28"/>
        </w:rPr>
        <w:t>万元，占总支出的</w:t>
      </w:r>
      <w:r>
        <w:rPr>
          <w:rStyle w:val="16"/>
          <w:rFonts w:hint="eastAsia" w:ascii="仿宋_GB2312" w:hAnsi="楷体" w:eastAsia="仿宋_GB2312"/>
          <w:b w:val="0"/>
          <w:spacing w:val="-4"/>
          <w:sz w:val="28"/>
          <w:szCs w:val="28"/>
          <w:lang w:val="en-US" w:eastAsia="zh-CN"/>
        </w:rPr>
        <w:t>46.87</w:t>
      </w:r>
      <w:r>
        <w:rPr>
          <w:rStyle w:val="16"/>
          <w:rFonts w:hint="eastAsia" w:ascii="仿宋_GB2312" w:hAnsi="楷体" w:eastAsia="仿宋_GB2312"/>
          <w:b w:val="0"/>
          <w:spacing w:val="-4"/>
          <w:sz w:val="28"/>
          <w:szCs w:val="28"/>
        </w:rPr>
        <w:t>％，其中：工资福利支出</w:t>
      </w:r>
      <w:r>
        <w:rPr>
          <w:rStyle w:val="16"/>
          <w:rFonts w:hint="eastAsia" w:ascii="仿宋_GB2312" w:hAnsi="楷体" w:eastAsia="仿宋_GB2312"/>
          <w:b w:val="0"/>
          <w:spacing w:val="-4"/>
          <w:sz w:val="28"/>
          <w:szCs w:val="28"/>
          <w:lang w:val="en-US" w:eastAsia="zh-CN"/>
        </w:rPr>
        <w:t>121.51</w:t>
      </w:r>
      <w:r>
        <w:rPr>
          <w:rStyle w:val="16"/>
          <w:rFonts w:hint="eastAsia" w:ascii="仿宋_GB2312" w:hAnsi="楷体" w:eastAsia="仿宋_GB2312"/>
          <w:b w:val="0"/>
          <w:spacing w:val="-4"/>
          <w:sz w:val="28"/>
          <w:szCs w:val="28"/>
        </w:rPr>
        <w:t>万元、商品和服务支出</w:t>
      </w:r>
      <w:r>
        <w:rPr>
          <w:rStyle w:val="16"/>
          <w:rFonts w:hint="eastAsia" w:ascii="仿宋_GB2312" w:hAnsi="楷体" w:eastAsia="仿宋_GB2312"/>
          <w:b w:val="0"/>
          <w:spacing w:val="-4"/>
          <w:sz w:val="28"/>
          <w:szCs w:val="28"/>
          <w:lang w:val="en-US" w:eastAsia="zh-CN"/>
        </w:rPr>
        <w:t>1.33</w:t>
      </w:r>
      <w:r>
        <w:rPr>
          <w:rStyle w:val="16"/>
          <w:rFonts w:hint="eastAsia" w:ascii="仿宋_GB2312" w:hAnsi="楷体" w:eastAsia="仿宋_GB2312"/>
          <w:b w:val="0"/>
          <w:spacing w:val="-4"/>
          <w:sz w:val="28"/>
          <w:szCs w:val="28"/>
        </w:rPr>
        <w:t>万元</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对个人和家庭的补助</w:t>
      </w:r>
      <w:r>
        <w:rPr>
          <w:rStyle w:val="16"/>
          <w:rFonts w:hint="eastAsia" w:ascii="仿宋_GB2312" w:hAnsi="楷体" w:eastAsia="仿宋_GB2312"/>
          <w:b w:val="0"/>
          <w:spacing w:val="-4"/>
          <w:sz w:val="28"/>
          <w:szCs w:val="28"/>
          <w:lang w:val="en-US" w:eastAsia="zh-CN"/>
        </w:rPr>
        <w:t>4.17</w:t>
      </w:r>
      <w:r>
        <w:rPr>
          <w:rStyle w:val="16"/>
          <w:rFonts w:hint="eastAsia" w:ascii="仿宋_GB2312" w:hAnsi="楷体" w:eastAsia="仿宋_GB2312"/>
          <w:b w:val="0"/>
          <w:spacing w:val="-4"/>
          <w:sz w:val="28"/>
          <w:szCs w:val="28"/>
        </w:rPr>
        <w:t>万元，主要用于</w:t>
      </w:r>
      <w:r>
        <w:rPr>
          <w:rStyle w:val="16"/>
          <w:rFonts w:hint="eastAsia" w:ascii="仿宋_GB2312" w:hAnsi="楷体" w:eastAsia="仿宋_GB2312"/>
          <w:b w:val="0"/>
          <w:spacing w:val="-4"/>
          <w:sz w:val="28"/>
          <w:szCs w:val="28"/>
          <w:lang w:val="en-US" w:eastAsia="zh-CN"/>
        </w:rPr>
        <w:t>退休人员生活补助、退休人员取暖费和独生子女补助</w:t>
      </w:r>
      <w:r>
        <w:rPr>
          <w:rStyle w:val="16"/>
          <w:rFonts w:hint="eastAsia" w:ascii="仿宋_GB2312" w:hAnsi="楷体" w:eastAsia="仿宋_GB2312"/>
          <w:b w:val="0"/>
          <w:spacing w:val="-4"/>
          <w:sz w:val="28"/>
          <w:szCs w:val="28"/>
        </w:rPr>
        <w:t>。资本性支出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2021年基本支出比上年</w:t>
      </w:r>
      <w:r>
        <w:rPr>
          <w:rStyle w:val="16"/>
          <w:rFonts w:hint="eastAsia" w:ascii="仿宋_GB2312" w:hAnsi="楷体" w:eastAsia="仿宋_GB2312"/>
          <w:b w:val="0"/>
          <w:spacing w:val="-4"/>
          <w:sz w:val="28"/>
          <w:szCs w:val="28"/>
          <w:lang w:val="en-US" w:eastAsia="zh-CN"/>
        </w:rPr>
        <w:t>136.03</w:t>
      </w:r>
      <w:r>
        <w:rPr>
          <w:rStyle w:val="16"/>
          <w:rFonts w:hint="eastAsia" w:ascii="仿宋_GB2312" w:hAnsi="楷体" w:eastAsia="仿宋_GB2312"/>
          <w:b w:val="0"/>
          <w:spacing w:val="-4"/>
          <w:sz w:val="28"/>
          <w:szCs w:val="28"/>
        </w:rPr>
        <w:t>万元,减少</w:t>
      </w:r>
      <w:r>
        <w:rPr>
          <w:rStyle w:val="16"/>
          <w:rFonts w:hint="eastAsia" w:ascii="仿宋_GB2312" w:hAnsi="楷体" w:eastAsia="仿宋_GB2312"/>
          <w:b w:val="0"/>
          <w:spacing w:val="-4"/>
          <w:sz w:val="28"/>
          <w:szCs w:val="28"/>
          <w:lang w:val="en-US" w:eastAsia="zh-CN"/>
        </w:rPr>
        <w:t>9.03</w:t>
      </w:r>
      <w:r>
        <w:rPr>
          <w:rStyle w:val="16"/>
          <w:rFonts w:hint="eastAsia" w:ascii="仿宋_GB2312" w:hAnsi="楷体" w:eastAsia="仿宋_GB2312"/>
          <w:b w:val="0"/>
          <w:spacing w:val="-4"/>
          <w:sz w:val="28"/>
          <w:szCs w:val="28"/>
        </w:rPr>
        <w:t>万元，下降</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lang w:val="en-US" w:eastAsia="zh-CN"/>
        </w:rPr>
        <w:t>6.64</w:t>
      </w:r>
      <w:r>
        <w:rPr>
          <w:rStyle w:val="16"/>
          <w:rFonts w:ascii="仿宋_GB2312" w:hAnsi="宋体" w:eastAsia="仿宋_GB2312"/>
          <w:b w:val="0"/>
          <w:bCs w:val="0"/>
          <w:spacing w:val="-4"/>
          <w:sz w:val="28"/>
          <w:szCs w:val="28"/>
        </w:rPr>
        <w:t>%</w:t>
      </w:r>
      <w:r>
        <w:rPr>
          <w:rStyle w:val="16"/>
          <w:rFonts w:hint="eastAsia" w:ascii="仿宋_GB2312" w:hAnsi="楷体" w:eastAsia="仿宋_GB2312"/>
          <w:b w:val="0"/>
          <w:spacing w:val="-4"/>
          <w:sz w:val="28"/>
          <w:szCs w:val="28"/>
        </w:rPr>
        <w:t>，支出减少的主要原因是</w:t>
      </w:r>
      <w:r>
        <w:rPr>
          <w:rStyle w:val="16"/>
          <w:rFonts w:hint="eastAsia" w:ascii="仿宋_GB2312" w:hAnsi="楷体" w:eastAsia="仿宋_GB2312"/>
          <w:b w:val="0"/>
          <w:spacing w:val="-4"/>
          <w:sz w:val="28"/>
          <w:szCs w:val="28"/>
          <w:lang w:val="en-US" w:eastAsia="zh-CN"/>
        </w:rPr>
        <w:t>本年度新增退休1人，整体支出下降</w:t>
      </w:r>
      <w:r>
        <w:rPr>
          <w:rStyle w:val="16"/>
          <w:rFonts w:hint="eastAsia" w:ascii="仿宋_GB2312" w:hAnsi="楷体" w:eastAsia="仿宋_GB2312"/>
          <w:b w:val="0"/>
          <w:spacing w:val="-4"/>
          <w:sz w:val="28"/>
          <w:szCs w:val="28"/>
        </w:rPr>
        <w:t>。</w:t>
      </w:r>
    </w:p>
    <w:p>
      <w:pPr>
        <w:spacing w:line="360" w:lineRule="auto"/>
        <w:ind w:firstLine="492" w:firstLineChars="181"/>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t>2021</w:t>
      </w:r>
      <w:r>
        <w:rPr>
          <w:rStyle w:val="16"/>
          <w:rFonts w:hint="eastAsia" w:ascii="仿宋_GB2312" w:hAnsi="楷体" w:eastAsia="仿宋_GB2312"/>
          <w:b w:val="0"/>
          <w:spacing w:val="-4"/>
          <w:sz w:val="28"/>
          <w:szCs w:val="28"/>
        </w:rPr>
        <w:t xml:space="preserve">年一般公共预算“三公”经费数为 </w:t>
      </w:r>
      <w:r>
        <w:rPr>
          <w:rStyle w:val="16"/>
          <w:rFonts w:hint="eastAsia" w:ascii="仿宋_GB2312" w:hAnsi="楷体" w:eastAsia="仿宋_GB2312"/>
          <w:b w:val="0"/>
          <w:spacing w:val="-4"/>
          <w:sz w:val="28"/>
          <w:szCs w:val="28"/>
          <w:lang w:val="en-US" w:eastAsia="zh-CN"/>
        </w:rPr>
        <w:t>0.8</w:t>
      </w:r>
      <w:r>
        <w:rPr>
          <w:rStyle w:val="16"/>
          <w:rFonts w:hint="eastAsia" w:ascii="仿宋_GB2312" w:hAnsi="楷体" w:eastAsia="仿宋_GB2312"/>
          <w:b w:val="0"/>
          <w:spacing w:val="-4"/>
          <w:sz w:val="28"/>
          <w:szCs w:val="28"/>
        </w:rPr>
        <w:t>万元，其中：因公出国（境）费</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万元，公务用车购置</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万元，公务用车运行费</w:t>
      </w:r>
      <w:r>
        <w:rPr>
          <w:rStyle w:val="16"/>
          <w:rFonts w:hint="eastAsia" w:ascii="仿宋_GB2312" w:hAnsi="楷体" w:eastAsia="仿宋_GB2312"/>
          <w:b w:val="0"/>
          <w:spacing w:val="-4"/>
          <w:sz w:val="28"/>
          <w:szCs w:val="28"/>
          <w:lang w:val="en-US" w:eastAsia="zh-CN"/>
        </w:rPr>
        <w:t>0.8</w:t>
      </w:r>
      <w:r>
        <w:rPr>
          <w:rStyle w:val="16"/>
          <w:rFonts w:hint="eastAsia" w:ascii="仿宋_GB2312" w:hAnsi="楷体" w:eastAsia="仿宋_GB2312"/>
          <w:b w:val="0"/>
          <w:spacing w:val="-4"/>
          <w:sz w:val="28"/>
          <w:szCs w:val="28"/>
        </w:rPr>
        <w:t>万元，公务接待费</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w:t>
      </w:r>
    </w:p>
    <w:p>
      <w:pPr>
        <w:spacing w:line="360" w:lineRule="auto"/>
        <w:ind w:firstLine="492" w:firstLineChars="181"/>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t>2</w:t>
      </w:r>
      <w:r>
        <w:rPr>
          <w:rStyle w:val="16"/>
          <w:rFonts w:hint="eastAsia" w:ascii="仿宋_GB2312" w:hAnsi="楷体" w:eastAsia="仿宋_GB2312"/>
          <w:b w:val="0"/>
          <w:spacing w:val="-4"/>
          <w:sz w:val="28"/>
          <w:szCs w:val="28"/>
          <w:lang w:val="en-US" w:eastAsia="zh-CN"/>
        </w:rPr>
        <w:t>0</w:t>
      </w:r>
      <w:r>
        <w:rPr>
          <w:rStyle w:val="16"/>
          <w:rFonts w:ascii="仿宋_GB2312" w:hAnsi="楷体" w:eastAsia="仿宋_GB2312"/>
          <w:b w:val="0"/>
          <w:spacing w:val="-4"/>
          <w:sz w:val="28"/>
          <w:szCs w:val="28"/>
        </w:rPr>
        <w:t>21</w:t>
      </w:r>
      <w:r>
        <w:rPr>
          <w:rStyle w:val="16"/>
          <w:rFonts w:hint="eastAsia" w:ascii="仿宋_GB2312" w:hAnsi="楷体" w:eastAsia="仿宋_GB2312"/>
          <w:b w:val="0"/>
          <w:spacing w:val="-4"/>
          <w:sz w:val="28"/>
          <w:szCs w:val="28"/>
        </w:rPr>
        <w:t>年一般公共预算“三公”经费比上年增加</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万元，其中：因公出国（境）费增加</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万元，主要原因是未安排预算；公务用车购置费为0，未安排预算；公务用车运行费增加</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万元，主要原因是</w:t>
      </w:r>
      <w:r>
        <w:rPr>
          <w:rStyle w:val="16"/>
          <w:rFonts w:hint="eastAsia" w:ascii="仿宋_GB2312" w:hAnsi="楷体" w:eastAsia="仿宋_GB2312"/>
          <w:b w:val="0"/>
          <w:spacing w:val="-4"/>
          <w:sz w:val="28"/>
          <w:szCs w:val="28"/>
          <w:lang w:val="en-US" w:eastAsia="zh-CN"/>
        </w:rPr>
        <w:t>本年度无变动</w:t>
      </w:r>
      <w:r>
        <w:rPr>
          <w:rStyle w:val="16"/>
          <w:rFonts w:hint="eastAsia" w:ascii="仿宋_GB2312" w:hAnsi="楷体" w:eastAsia="仿宋_GB2312"/>
          <w:b w:val="0"/>
          <w:spacing w:val="-4"/>
          <w:sz w:val="28"/>
          <w:szCs w:val="28"/>
        </w:rPr>
        <w:t>；公务接待费增加</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万元，主要原因是未安排预算。</w:t>
      </w:r>
    </w:p>
    <w:p>
      <w:pPr>
        <w:pStyle w:val="5"/>
        <w:spacing w:line="360" w:lineRule="auto"/>
        <w:rPr>
          <w:rStyle w:val="16"/>
          <w:rFonts w:ascii="仿宋" w:hAnsi="仿宋" w:eastAsia="仿宋"/>
          <w:b/>
          <w:bCs/>
        </w:rPr>
      </w:pPr>
      <w:bookmarkStart w:id="15" w:name="_Toc70450302"/>
      <w:r>
        <w:rPr>
          <w:rStyle w:val="16"/>
          <w:rFonts w:hint="eastAsia" w:ascii="仿宋" w:hAnsi="仿宋" w:eastAsia="仿宋"/>
          <w:b/>
          <w:bCs/>
        </w:rPr>
        <w:t>（三）专项支出管理及使用情况</w:t>
      </w:r>
      <w:bookmarkEnd w:id="15"/>
    </w:p>
    <w:p>
      <w:pPr>
        <w:pStyle w:val="6"/>
        <w:spacing w:line="360" w:lineRule="auto"/>
        <w:ind w:firstLine="562" w:firstLineChars="200"/>
        <w:rPr>
          <w:rStyle w:val="16"/>
          <w:rFonts w:ascii="仿宋" w:hAnsi="仿宋" w:eastAsia="仿宋"/>
          <w:b/>
          <w:bCs/>
        </w:rPr>
      </w:pPr>
      <w:bookmarkStart w:id="16" w:name="_Toc70450303"/>
      <w:r>
        <w:rPr>
          <w:rStyle w:val="16"/>
          <w:rFonts w:hint="eastAsia" w:ascii="仿宋" w:hAnsi="仿宋" w:eastAsia="仿宋"/>
          <w:b/>
          <w:bCs/>
        </w:rPr>
        <w:t>1、专项资金安排落实、总投入等情况分析</w:t>
      </w:r>
      <w:bookmarkEnd w:id="16"/>
    </w:p>
    <w:p>
      <w:pPr>
        <w:spacing w:line="360" w:lineRule="auto"/>
        <w:ind w:firstLine="492" w:firstLineChars="181"/>
        <w:rPr>
          <w:rStyle w:val="16"/>
          <w:rFonts w:hint="eastAsia" w:ascii="仿宋_GB2312" w:hAnsi="楷体" w:eastAsia="仿宋_GB2312"/>
          <w:b w:val="0"/>
          <w:spacing w:val="-4"/>
          <w:sz w:val="28"/>
          <w:szCs w:val="28"/>
          <w:lang w:eastAsia="zh-CN"/>
        </w:rPr>
      </w:pPr>
      <w:r>
        <w:rPr>
          <w:rStyle w:val="16"/>
          <w:rFonts w:ascii="仿宋_GB2312" w:hAnsi="楷体" w:eastAsia="仿宋_GB2312"/>
          <w:b w:val="0"/>
          <w:spacing w:val="-4"/>
          <w:sz w:val="28"/>
          <w:szCs w:val="28"/>
        </w:rPr>
        <w:t>2021</w:t>
      </w:r>
      <w:r>
        <w:rPr>
          <w:rStyle w:val="16"/>
          <w:rFonts w:hint="eastAsia" w:ascii="仿宋_GB2312" w:hAnsi="楷体" w:eastAsia="仿宋_GB2312"/>
          <w:b w:val="0"/>
          <w:spacing w:val="-4"/>
          <w:sz w:val="28"/>
          <w:szCs w:val="28"/>
        </w:rPr>
        <w:t>年预算安排专项资金</w:t>
      </w:r>
      <w:r>
        <w:rPr>
          <w:rStyle w:val="16"/>
          <w:rFonts w:hint="eastAsia" w:ascii="仿宋_GB2312" w:hAnsi="楷体" w:eastAsia="仿宋_GB2312"/>
          <w:b w:val="0"/>
          <w:spacing w:val="-4"/>
          <w:sz w:val="28"/>
          <w:szCs w:val="28"/>
          <w:lang w:val="en-US" w:eastAsia="zh-CN"/>
        </w:rPr>
        <w:t>144.23</w:t>
      </w:r>
      <w:r>
        <w:rPr>
          <w:rStyle w:val="16"/>
          <w:rFonts w:hint="eastAsia" w:ascii="仿宋_GB2312" w:hAnsi="楷体" w:eastAsia="仿宋_GB2312"/>
          <w:b w:val="0"/>
          <w:spacing w:val="-4"/>
          <w:sz w:val="28"/>
          <w:szCs w:val="28"/>
        </w:rPr>
        <w:t>万元，实际到位</w:t>
      </w:r>
      <w:r>
        <w:rPr>
          <w:rStyle w:val="16"/>
          <w:rFonts w:hint="eastAsia" w:ascii="仿宋_GB2312" w:hAnsi="楷体" w:eastAsia="仿宋_GB2312"/>
          <w:b w:val="0"/>
          <w:spacing w:val="-4"/>
          <w:sz w:val="28"/>
          <w:szCs w:val="28"/>
          <w:lang w:val="en-US" w:eastAsia="zh-CN"/>
        </w:rPr>
        <w:t>144.23</w:t>
      </w:r>
      <w:r>
        <w:rPr>
          <w:rStyle w:val="16"/>
          <w:rFonts w:hint="eastAsia" w:ascii="仿宋_GB2312" w:hAnsi="楷体" w:eastAsia="仿宋_GB2312"/>
          <w:b w:val="0"/>
          <w:spacing w:val="-4"/>
          <w:sz w:val="28"/>
          <w:szCs w:val="28"/>
        </w:rPr>
        <w:t>万元,</w:t>
      </w:r>
      <w:r>
        <w:rPr>
          <w:rFonts w:hint="eastAsia"/>
        </w:rPr>
        <w:t xml:space="preserve"> </w:t>
      </w:r>
      <w:r>
        <w:rPr>
          <w:rStyle w:val="16"/>
          <w:rFonts w:hint="eastAsia" w:ascii="仿宋_GB2312" w:hAnsi="楷体" w:eastAsia="仿宋_GB2312"/>
          <w:b w:val="0"/>
          <w:spacing w:val="-4"/>
          <w:sz w:val="28"/>
          <w:szCs w:val="28"/>
        </w:rPr>
        <w:t>到位率</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％,其中:中央转移支付项目资金</w:t>
      </w:r>
      <w:r>
        <w:rPr>
          <w:rStyle w:val="16"/>
          <w:rFonts w:hint="eastAsia" w:ascii="仿宋_GB2312" w:hAnsi="楷体" w:eastAsia="仿宋_GB2312"/>
          <w:b w:val="0"/>
          <w:spacing w:val="-4"/>
          <w:sz w:val="28"/>
          <w:szCs w:val="28"/>
          <w:lang w:val="en-US" w:eastAsia="zh-CN"/>
        </w:rPr>
        <w:t>108.38</w:t>
      </w:r>
      <w:r>
        <w:rPr>
          <w:rStyle w:val="16"/>
          <w:rFonts w:hint="eastAsia" w:ascii="仿宋_GB2312" w:hAnsi="楷体" w:eastAsia="仿宋_GB2312"/>
          <w:b w:val="0"/>
          <w:spacing w:val="-4"/>
          <w:sz w:val="28"/>
          <w:szCs w:val="28"/>
        </w:rPr>
        <w:t>万元，自治区资金</w:t>
      </w:r>
      <w:r>
        <w:rPr>
          <w:rStyle w:val="16"/>
          <w:rFonts w:hint="eastAsia" w:ascii="仿宋_GB2312" w:hAnsi="楷体" w:eastAsia="仿宋_GB2312"/>
          <w:b w:val="0"/>
          <w:spacing w:val="-4"/>
          <w:sz w:val="28"/>
          <w:szCs w:val="28"/>
          <w:lang w:val="en-US" w:eastAsia="zh-CN"/>
        </w:rPr>
        <w:t>35.85</w:t>
      </w:r>
      <w:r>
        <w:rPr>
          <w:rStyle w:val="16"/>
          <w:rFonts w:hint="eastAsia" w:ascii="仿宋_GB2312" w:hAnsi="楷体" w:eastAsia="仿宋_GB2312"/>
          <w:b w:val="0"/>
          <w:spacing w:val="-4"/>
          <w:sz w:val="28"/>
          <w:szCs w:val="28"/>
        </w:rPr>
        <w:t>万元，本级安排</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w:t>
      </w:r>
      <w:r>
        <w:rPr>
          <w:rStyle w:val="16"/>
          <w:rFonts w:hint="eastAsia" w:ascii="仿宋_GB2312" w:hAnsi="楷体" w:eastAsia="仿宋_GB2312"/>
          <w:b w:val="0"/>
          <w:spacing w:val="-4"/>
          <w:sz w:val="28"/>
          <w:szCs w:val="28"/>
          <w:lang w:eastAsia="zh-CN"/>
        </w:rPr>
        <w:t>。</w:t>
      </w:r>
    </w:p>
    <w:p>
      <w:pPr>
        <w:pStyle w:val="6"/>
        <w:spacing w:line="360" w:lineRule="auto"/>
        <w:ind w:firstLine="562" w:firstLineChars="200"/>
        <w:rPr>
          <w:rStyle w:val="16"/>
          <w:rFonts w:ascii="仿宋" w:hAnsi="仿宋" w:eastAsia="仿宋"/>
          <w:b/>
          <w:bCs/>
        </w:rPr>
      </w:pPr>
      <w:bookmarkStart w:id="17" w:name="_Toc70450304"/>
      <w:r>
        <w:rPr>
          <w:rStyle w:val="16"/>
          <w:rFonts w:hint="eastAsia" w:ascii="仿宋" w:hAnsi="仿宋" w:eastAsia="仿宋"/>
          <w:b/>
          <w:bCs/>
        </w:rPr>
        <w:t>2、专项资金实际使用情况</w:t>
      </w:r>
      <w:bookmarkEnd w:id="17"/>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2021年专项资金支出金</w:t>
      </w:r>
      <w:r>
        <w:rPr>
          <w:rStyle w:val="16"/>
          <w:rFonts w:hint="eastAsia" w:ascii="仿宋_GB2312" w:hAnsi="楷体" w:eastAsia="仿宋_GB2312"/>
          <w:b w:val="0"/>
          <w:spacing w:val="-4"/>
          <w:sz w:val="28"/>
          <w:szCs w:val="28"/>
          <w:lang w:val="en-US" w:eastAsia="zh-CN"/>
        </w:rPr>
        <w:t>144.23</w:t>
      </w:r>
      <w:r>
        <w:rPr>
          <w:rStyle w:val="16"/>
          <w:rFonts w:hint="eastAsia" w:ascii="仿宋_GB2312" w:hAnsi="楷体" w:eastAsia="仿宋_GB2312"/>
          <w:b w:val="0"/>
          <w:spacing w:val="-4"/>
          <w:sz w:val="28"/>
          <w:szCs w:val="28"/>
        </w:rPr>
        <w:t>万元，占总支出的</w:t>
      </w:r>
      <w:r>
        <w:rPr>
          <w:rStyle w:val="16"/>
          <w:rFonts w:hint="eastAsia" w:ascii="仿宋_GB2312" w:hAnsi="楷体" w:eastAsia="仿宋_GB2312"/>
          <w:b w:val="0"/>
          <w:spacing w:val="-4"/>
          <w:sz w:val="28"/>
          <w:szCs w:val="28"/>
          <w:lang w:val="en-US" w:eastAsia="zh-CN"/>
        </w:rPr>
        <w:t>53.22</w:t>
      </w:r>
      <w:r>
        <w:rPr>
          <w:rStyle w:val="16"/>
          <w:rFonts w:hint="eastAsia" w:ascii="仿宋_GB2312" w:hAnsi="楷体" w:eastAsia="仿宋_GB2312"/>
          <w:b w:val="0"/>
          <w:spacing w:val="-4"/>
          <w:sz w:val="28"/>
          <w:szCs w:val="28"/>
        </w:rPr>
        <w:t>%，其中2021年专项项目支出比上年</w:t>
      </w:r>
      <w:r>
        <w:rPr>
          <w:rStyle w:val="16"/>
          <w:rFonts w:hint="eastAsia" w:ascii="仿宋_GB2312" w:hAnsi="楷体" w:eastAsia="仿宋_GB2312"/>
          <w:b w:val="0"/>
          <w:spacing w:val="-4"/>
          <w:sz w:val="28"/>
          <w:szCs w:val="28"/>
          <w:lang w:val="en-US" w:eastAsia="zh-CN"/>
        </w:rPr>
        <w:t>131.86</w:t>
      </w:r>
      <w:r>
        <w:rPr>
          <w:rStyle w:val="16"/>
          <w:rFonts w:hint="eastAsia" w:ascii="仿宋_GB2312" w:hAnsi="楷体" w:eastAsia="仿宋_GB2312"/>
          <w:b w:val="0"/>
          <w:spacing w:val="-4"/>
          <w:sz w:val="28"/>
          <w:szCs w:val="28"/>
        </w:rPr>
        <w:t>万元</w:t>
      </w:r>
      <w:r>
        <w:rPr>
          <w:rStyle w:val="16"/>
          <w:rFonts w:hint="eastAsia" w:ascii="仿宋_GB2312" w:hAnsi="楷体" w:eastAsia="仿宋_GB2312"/>
          <w:b w:val="0"/>
          <w:spacing w:val="-4"/>
          <w:sz w:val="28"/>
          <w:szCs w:val="28"/>
          <w:lang w:val="en-US" w:eastAsia="zh-CN"/>
        </w:rPr>
        <w:t>增加12.37</w:t>
      </w:r>
      <w:r>
        <w:rPr>
          <w:rStyle w:val="16"/>
          <w:rFonts w:hint="eastAsia" w:ascii="仿宋_GB2312" w:hAnsi="楷体" w:eastAsia="仿宋_GB2312"/>
          <w:b w:val="0"/>
          <w:spacing w:val="-4"/>
          <w:sz w:val="28"/>
          <w:szCs w:val="28"/>
        </w:rPr>
        <w:t>万元，</w:t>
      </w:r>
      <w:r>
        <w:rPr>
          <w:rStyle w:val="16"/>
          <w:rFonts w:hint="eastAsia" w:ascii="仿宋_GB2312" w:hAnsi="楷体" w:eastAsia="仿宋_GB2312"/>
          <w:b w:val="0"/>
          <w:spacing w:val="-4"/>
          <w:sz w:val="28"/>
          <w:szCs w:val="28"/>
          <w:lang w:val="en-US" w:eastAsia="zh-CN"/>
        </w:rPr>
        <w:t>上升9.38</w:t>
      </w:r>
      <w:r>
        <w:rPr>
          <w:rStyle w:val="16"/>
          <w:rFonts w:hint="eastAsia" w:ascii="仿宋_GB2312" w:hAnsi="楷体" w:eastAsia="仿宋_GB2312"/>
          <w:b w:val="0"/>
          <w:spacing w:val="-4"/>
          <w:sz w:val="28"/>
          <w:szCs w:val="28"/>
        </w:rPr>
        <w:t>%。支出</w:t>
      </w:r>
      <w:r>
        <w:rPr>
          <w:rStyle w:val="16"/>
          <w:rFonts w:hint="eastAsia" w:ascii="仿宋_GB2312" w:hAnsi="楷体" w:eastAsia="仿宋_GB2312"/>
          <w:b w:val="0"/>
          <w:spacing w:val="-4"/>
          <w:sz w:val="28"/>
          <w:szCs w:val="28"/>
          <w:lang w:val="en-US" w:eastAsia="zh-CN"/>
        </w:rPr>
        <w:t xml:space="preserve">上升 </w:t>
      </w:r>
      <w:r>
        <w:rPr>
          <w:rStyle w:val="16"/>
          <w:rFonts w:hint="eastAsia" w:ascii="仿宋_GB2312" w:hAnsi="楷体" w:eastAsia="仿宋_GB2312"/>
          <w:b w:val="0"/>
          <w:spacing w:val="-4"/>
          <w:sz w:val="28"/>
          <w:szCs w:val="28"/>
        </w:rPr>
        <w:t>的主要原因是</w:t>
      </w:r>
      <w:r>
        <w:rPr>
          <w:rStyle w:val="16"/>
          <w:rFonts w:hint="eastAsia" w:ascii="仿宋_GB2312" w:hAnsi="楷体" w:eastAsia="仿宋_GB2312"/>
          <w:b w:val="0"/>
          <w:spacing w:val="-4"/>
          <w:sz w:val="28"/>
          <w:szCs w:val="28"/>
          <w:lang w:val="en-US" w:eastAsia="zh-CN"/>
        </w:rPr>
        <w:t>本年度上级专项增加</w:t>
      </w:r>
      <w:r>
        <w:rPr>
          <w:rStyle w:val="16"/>
          <w:rFonts w:hint="eastAsia" w:ascii="仿宋_GB2312" w:hAnsi="楷体" w:eastAsia="仿宋_GB2312"/>
          <w:b w:val="0"/>
          <w:spacing w:val="-4"/>
          <w:sz w:val="28"/>
          <w:szCs w:val="28"/>
        </w:rPr>
        <w:t>。其中：</w:t>
      </w:r>
      <w:r>
        <w:rPr>
          <w:rStyle w:val="16"/>
          <w:rFonts w:hint="eastAsia" w:ascii="仿宋_GB2312" w:hAnsi="楷体" w:eastAsia="仿宋_GB2312"/>
          <w:b w:val="0"/>
          <w:spacing w:val="-4"/>
          <w:sz w:val="28"/>
          <w:szCs w:val="28"/>
          <w:lang w:val="en-US" w:eastAsia="zh-CN"/>
        </w:rPr>
        <w:t>2021年残疾人事业发展补助</w:t>
      </w:r>
      <w:r>
        <w:rPr>
          <w:rStyle w:val="16"/>
          <w:rFonts w:hint="eastAsia" w:ascii="仿宋_GB2312" w:hAnsi="楷体" w:eastAsia="仿宋_GB2312"/>
          <w:b w:val="0"/>
          <w:spacing w:val="-4"/>
          <w:sz w:val="28"/>
          <w:szCs w:val="28"/>
        </w:rPr>
        <w:t>项目安排</w:t>
      </w:r>
      <w:r>
        <w:rPr>
          <w:rStyle w:val="16"/>
          <w:rFonts w:hint="eastAsia" w:ascii="仿宋_GB2312" w:hAnsi="楷体" w:eastAsia="仿宋_GB2312"/>
          <w:b w:val="0"/>
          <w:spacing w:val="-4"/>
          <w:sz w:val="28"/>
          <w:szCs w:val="28"/>
          <w:lang w:val="en-US" w:eastAsia="zh-CN"/>
        </w:rPr>
        <w:t>144.23</w:t>
      </w:r>
      <w:r>
        <w:rPr>
          <w:rStyle w:val="16"/>
          <w:rFonts w:hint="eastAsia" w:ascii="仿宋_GB2312" w:hAnsi="楷体" w:eastAsia="仿宋_GB2312"/>
          <w:b w:val="0"/>
          <w:spacing w:val="-4"/>
          <w:sz w:val="28"/>
          <w:szCs w:val="28"/>
        </w:rPr>
        <w:t>万元，主要用于完成</w:t>
      </w:r>
      <w:r>
        <w:rPr>
          <w:rStyle w:val="16"/>
          <w:rFonts w:hint="eastAsia" w:ascii="仿宋_GB2312" w:hAnsi="楷体" w:eastAsia="仿宋_GB2312"/>
          <w:b w:val="0"/>
          <w:spacing w:val="-4"/>
          <w:sz w:val="28"/>
          <w:szCs w:val="28"/>
          <w:lang w:val="en-US" w:eastAsia="zh-CN"/>
        </w:rPr>
        <w:t>残疾人康复及保障残疾人工作有效开展</w:t>
      </w:r>
      <w:r>
        <w:rPr>
          <w:rStyle w:val="16"/>
          <w:rFonts w:hint="eastAsia" w:ascii="仿宋_GB2312" w:hAnsi="楷体" w:eastAsia="仿宋_GB2312"/>
          <w:b w:val="0"/>
          <w:spacing w:val="-4"/>
          <w:sz w:val="28"/>
          <w:szCs w:val="28"/>
        </w:rPr>
        <w:t>。</w:t>
      </w:r>
    </w:p>
    <w:p>
      <w:pPr>
        <w:pStyle w:val="6"/>
        <w:spacing w:line="360" w:lineRule="auto"/>
        <w:ind w:firstLine="562" w:firstLineChars="200"/>
        <w:rPr>
          <w:rStyle w:val="16"/>
          <w:rFonts w:ascii="仿宋" w:hAnsi="仿宋" w:eastAsia="仿宋"/>
          <w:b/>
          <w:bCs/>
        </w:rPr>
      </w:pPr>
      <w:bookmarkStart w:id="18" w:name="_Toc70450305"/>
      <w:r>
        <w:rPr>
          <w:rStyle w:val="16"/>
          <w:rFonts w:hint="eastAsia" w:ascii="仿宋" w:hAnsi="仿宋" w:eastAsia="仿宋"/>
          <w:b/>
          <w:bCs/>
        </w:rPr>
        <w:t>3、专项资金管理情况</w:t>
      </w:r>
      <w:bookmarkEnd w:id="18"/>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为规范专项资金使用，提高专项资金使用效益，我单位主要采取四项措施。</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一是制订专项资金管理制度；二是各专项资金建立了专帐；三是制订了项目实施方案；四是认真组织项目验收。切实确保专项资金都做到了专款专用。其中：</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（1）制定了专项资金管理办法，各项资金使用审批流程均按规定办理。涉及“三重一大”内容，严格按照规定提请局党组会审议决定，包括项目资金分配、重大项目确定、大额资金支付等。</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w:t>
      </w:r>
      <w:r>
        <w:rPr>
          <w:rStyle w:val="16"/>
          <w:rFonts w:ascii="仿宋_GB2312" w:hAnsi="楷体" w:eastAsia="仿宋_GB2312"/>
          <w:b w:val="0"/>
          <w:spacing w:val="-4"/>
          <w:sz w:val="28"/>
          <w:szCs w:val="28"/>
        </w:rPr>
        <w:t>2</w:t>
      </w:r>
      <w:r>
        <w:rPr>
          <w:rStyle w:val="16"/>
          <w:rFonts w:hint="eastAsia" w:ascii="仿宋_GB2312" w:hAnsi="楷体" w:eastAsia="仿宋_GB2312"/>
          <w:b w:val="0"/>
          <w:spacing w:val="-4"/>
          <w:sz w:val="28"/>
          <w:szCs w:val="28"/>
        </w:rPr>
        <w:t>）建立</w:t>
      </w:r>
      <w:r>
        <w:rPr>
          <w:rStyle w:val="16"/>
          <w:rFonts w:hint="eastAsia" w:ascii="仿宋_GB2312" w:hAnsi="楷体" w:eastAsia="仿宋_GB2312"/>
          <w:b w:val="0"/>
          <w:spacing w:val="-4"/>
          <w:sz w:val="28"/>
          <w:szCs w:val="28"/>
          <w:lang w:val="en-US" w:eastAsia="zh-CN"/>
        </w:rPr>
        <w:t>2021年残疾人事业发展补助</w:t>
      </w:r>
      <w:r>
        <w:rPr>
          <w:rStyle w:val="16"/>
          <w:rFonts w:hint="eastAsia" w:ascii="仿宋_GB2312" w:hAnsi="楷体" w:eastAsia="仿宋_GB2312"/>
          <w:b w:val="0"/>
          <w:spacing w:val="-4"/>
          <w:sz w:val="28"/>
          <w:szCs w:val="28"/>
        </w:rPr>
        <w:t>项目专项资金专帐，做到有据可依，有据可查。</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（3）制订了</w:t>
      </w:r>
      <w:r>
        <w:rPr>
          <w:rStyle w:val="16"/>
          <w:rFonts w:hint="eastAsia" w:ascii="仿宋_GB2312" w:hAnsi="楷体" w:eastAsia="仿宋_GB2312"/>
          <w:b w:val="0"/>
          <w:spacing w:val="-4"/>
          <w:sz w:val="28"/>
          <w:szCs w:val="28"/>
          <w:lang w:val="en-US" w:eastAsia="zh-CN"/>
        </w:rPr>
        <w:t>2021年残疾人事业发展补助</w:t>
      </w:r>
      <w:r>
        <w:rPr>
          <w:rStyle w:val="16"/>
          <w:rFonts w:hint="eastAsia" w:ascii="仿宋_GB2312" w:hAnsi="楷体" w:eastAsia="仿宋_GB2312"/>
          <w:b w:val="0"/>
          <w:spacing w:val="-4"/>
          <w:sz w:val="28"/>
          <w:szCs w:val="28"/>
        </w:rPr>
        <w:t>项目实施方案，确保项目</w:t>
      </w:r>
      <w:r>
        <w:rPr>
          <w:rStyle w:val="16"/>
          <w:rFonts w:hint="eastAsia" w:ascii="仿宋_GB2312" w:hAnsi="楷体" w:eastAsia="仿宋_GB2312"/>
          <w:b w:val="0"/>
          <w:spacing w:val="-4"/>
          <w:sz w:val="28"/>
          <w:szCs w:val="28"/>
          <w:lang w:val="en-US" w:eastAsia="zh-CN"/>
        </w:rPr>
        <w:t>有效实施</w:t>
      </w:r>
      <w:r>
        <w:rPr>
          <w:rStyle w:val="16"/>
          <w:rFonts w:hint="eastAsia" w:ascii="仿宋_GB2312" w:hAnsi="楷体" w:eastAsia="仿宋_GB2312"/>
          <w:b w:val="0"/>
          <w:spacing w:val="-4"/>
          <w:sz w:val="28"/>
          <w:szCs w:val="28"/>
        </w:rPr>
        <w:t>。</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（4）认真组织</w:t>
      </w:r>
      <w:r>
        <w:rPr>
          <w:rStyle w:val="16"/>
          <w:rFonts w:hint="eastAsia" w:ascii="仿宋_GB2312" w:hAnsi="楷体" w:eastAsia="仿宋_GB2312"/>
          <w:b w:val="0"/>
          <w:spacing w:val="-4"/>
          <w:sz w:val="28"/>
          <w:szCs w:val="28"/>
          <w:lang w:val="en-US" w:eastAsia="zh-CN"/>
        </w:rPr>
        <w:t>2021年残疾人事业发展补助</w:t>
      </w:r>
      <w:r>
        <w:rPr>
          <w:rStyle w:val="16"/>
          <w:rFonts w:hint="eastAsia" w:ascii="仿宋_GB2312" w:hAnsi="楷体" w:eastAsia="仿宋_GB2312"/>
          <w:b w:val="0"/>
          <w:spacing w:val="-4"/>
          <w:sz w:val="28"/>
          <w:szCs w:val="28"/>
        </w:rPr>
        <w:t>项目验收，确保</w:t>
      </w:r>
      <w:r>
        <w:rPr>
          <w:rStyle w:val="16"/>
          <w:rFonts w:hint="eastAsia" w:ascii="仿宋_GB2312" w:hAnsi="楷体" w:eastAsia="仿宋_GB2312"/>
          <w:b w:val="0"/>
          <w:spacing w:val="-4"/>
          <w:sz w:val="28"/>
          <w:szCs w:val="28"/>
          <w:lang w:val="en-US" w:eastAsia="zh-CN"/>
        </w:rPr>
        <w:t>该项目达到预期指标</w:t>
      </w:r>
      <w:r>
        <w:rPr>
          <w:rStyle w:val="16"/>
          <w:rFonts w:hint="eastAsia" w:ascii="仿宋_GB2312" w:hAnsi="楷体" w:eastAsia="仿宋_GB2312"/>
          <w:b w:val="0"/>
          <w:spacing w:val="-4"/>
          <w:sz w:val="28"/>
          <w:szCs w:val="28"/>
        </w:rPr>
        <w:t>。</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专项资金涉及政府采购项目的，按照局《</w:t>
      </w:r>
      <w:r>
        <w:rPr>
          <w:rStyle w:val="16"/>
          <w:rFonts w:hint="eastAsia" w:ascii="仿宋_GB2312" w:hAnsi="楷体" w:eastAsia="仿宋_GB2312"/>
          <w:b w:val="0"/>
          <w:spacing w:val="-4"/>
          <w:sz w:val="28"/>
          <w:szCs w:val="28"/>
          <w:lang w:val="en-US" w:eastAsia="zh-CN"/>
        </w:rPr>
        <w:t>特克斯县</w:t>
      </w:r>
      <w:r>
        <w:rPr>
          <w:rStyle w:val="16"/>
          <w:rFonts w:hint="eastAsia" w:ascii="仿宋_GB2312" w:hAnsi="楷体" w:eastAsia="仿宋_GB2312"/>
          <w:b w:val="0"/>
          <w:spacing w:val="-4"/>
          <w:sz w:val="28"/>
          <w:szCs w:val="28"/>
        </w:rPr>
        <w:t>采购与招标管理办法》组织人员制定采购计划，按照财政局采购部门批复，进行公开招标、邀请招标等方式进行。</w:t>
      </w:r>
    </w:p>
    <w:p>
      <w:pPr>
        <w:spacing w:line="360" w:lineRule="auto"/>
        <w:ind w:firstLine="492" w:firstLineChars="181"/>
        <w:rPr>
          <w:rStyle w:val="16"/>
          <w:rFonts w:ascii="仿宋_GB2312" w:hAnsi="楷体" w:eastAsia="仿宋_GB2312"/>
          <w:b w:val="0"/>
          <w:spacing w:val="-4"/>
          <w:sz w:val="28"/>
          <w:szCs w:val="28"/>
        </w:rPr>
      </w:pPr>
    </w:p>
    <w:p>
      <w:pPr>
        <w:pStyle w:val="4"/>
        <w:spacing w:line="360" w:lineRule="auto"/>
        <w:rPr>
          <w:rFonts w:ascii="仿宋" w:hAnsi="仿宋" w:eastAsia="仿宋"/>
          <w:sz w:val="36"/>
          <w:szCs w:val="36"/>
          <w:lang w:bidi="ar"/>
        </w:rPr>
      </w:pPr>
      <w:bookmarkStart w:id="19" w:name="_Toc70450306"/>
      <w:r>
        <w:rPr>
          <w:rFonts w:hint="eastAsia" w:ascii="仿宋" w:hAnsi="仿宋" w:eastAsia="仿宋"/>
          <w:sz w:val="36"/>
          <w:szCs w:val="36"/>
          <w:lang w:bidi="ar"/>
        </w:rPr>
        <w:t>三、部门单位专项组织实施情况</w:t>
      </w:r>
      <w:bookmarkEnd w:id="19"/>
    </w:p>
    <w:p>
      <w:pPr>
        <w:pStyle w:val="6"/>
        <w:numPr>
          <w:ilvl w:val="0"/>
          <w:numId w:val="1"/>
        </w:numPr>
        <w:spacing w:line="360" w:lineRule="auto"/>
        <w:rPr>
          <w:rStyle w:val="16"/>
          <w:rFonts w:ascii="仿宋" w:hAnsi="仿宋" w:eastAsia="仿宋"/>
          <w:b/>
          <w:bCs/>
        </w:rPr>
      </w:pPr>
      <w:bookmarkStart w:id="20" w:name="_Toc70450308"/>
      <w:r>
        <w:rPr>
          <w:rStyle w:val="16"/>
          <w:rFonts w:hint="eastAsia" w:ascii="仿宋" w:hAnsi="仿宋" w:eastAsia="仿宋"/>
          <w:b/>
          <w:bCs/>
        </w:rPr>
        <w:t>专项组织情况分析</w:t>
      </w:r>
      <w:bookmarkEnd w:id="20"/>
    </w:p>
    <w:p>
      <w:pPr>
        <w:snapToGrid w:val="0"/>
        <w:spacing w:line="360" w:lineRule="auto"/>
        <w:ind w:firstLine="544" w:firstLineChars="200"/>
        <w:rPr>
          <w:rStyle w:val="16"/>
          <w:rFonts w:ascii="仿宋_GB2312" w:hAnsi="楷体" w:eastAsia="仿宋_GB2312"/>
          <w:b w:val="0"/>
          <w:bCs w:val="0"/>
          <w:color w:val="FF0000"/>
          <w:spacing w:val="-4"/>
          <w:sz w:val="28"/>
          <w:szCs w:val="28"/>
        </w:rPr>
      </w:pPr>
      <w:r>
        <w:rPr>
          <w:rStyle w:val="16"/>
          <w:rFonts w:hint="eastAsia" w:ascii="仿宋_GB2312" w:hAnsi="楷体" w:eastAsia="仿宋_GB2312"/>
          <w:b w:val="0"/>
          <w:bCs w:val="0"/>
          <w:spacing w:val="-4"/>
          <w:sz w:val="28"/>
          <w:szCs w:val="28"/>
        </w:rPr>
        <w:t>1、前期准备</w:t>
      </w:r>
    </w:p>
    <w:p>
      <w:pPr>
        <w:snapToGrid w:val="0"/>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年初我单位下发的2021年残疾人事业发展补助项目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p>
    <w:p>
      <w:pPr>
        <w:snapToGrid w:val="0"/>
        <w:spacing w:line="360" w:lineRule="auto"/>
        <w:ind w:firstLine="544" w:firstLineChars="200"/>
        <w:rPr>
          <w:rStyle w:val="16"/>
          <w:rFonts w:ascii="仿宋_GB2312" w:hAnsi="楷体" w:eastAsia="仿宋_GB2312"/>
          <w:b w:val="0"/>
          <w:bCs w:val="0"/>
          <w:spacing w:val="-4"/>
          <w:sz w:val="28"/>
          <w:szCs w:val="28"/>
        </w:rPr>
      </w:pPr>
      <w:r>
        <w:rPr>
          <w:rStyle w:val="16"/>
          <w:rFonts w:hint="eastAsia" w:ascii="仿宋_GB2312" w:hAnsi="楷体" w:eastAsia="仿宋_GB2312"/>
          <w:b w:val="0"/>
          <w:bCs w:val="0"/>
          <w:spacing w:val="-4"/>
          <w:sz w:val="28"/>
          <w:szCs w:val="28"/>
        </w:rPr>
        <w:t>2、组织实施</w:t>
      </w:r>
    </w:p>
    <w:p>
      <w:pPr>
        <w:snapToGrid w:val="0"/>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p>
    <w:p>
      <w:pPr>
        <w:snapToGrid w:val="0"/>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一是对专项项目预算执行情况进行分析，再考察专项项目产出、项目目标的实现程度和管理有效性，从而总结项目取得的业绩和经验，发现项目存在的不足之处。</w:t>
      </w:r>
    </w:p>
    <w:p>
      <w:pPr>
        <w:snapToGrid w:val="0"/>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w:t>
      </w:r>
    </w:p>
    <w:p>
      <w:pPr>
        <w:snapToGrid w:val="0"/>
        <w:spacing w:line="360" w:lineRule="auto"/>
        <w:ind w:firstLine="544" w:firstLineChars="200"/>
        <w:rPr>
          <w:rStyle w:val="16"/>
          <w:rFonts w:hint="eastAsia" w:ascii="宋体" w:hAnsi="宋体" w:eastAsia="宋体"/>
          <w:color w:val="FF0000"/>
          <w:spacing w:val="-4"/>
          <w:sz w:val="28"/>
          <w:szCs w:val="28"/>
        </w:rPr>
      </w:pPr>
      <w:r>
        <w:rPr>
          <w:rStyle w:val="16"/>
          <w:rFonts w:hint="eastAsia" w:ascii="仿宋_GB2312" w:hAnsi="楷体" w:eastAsia="仿宋_GB2312"/>
          <w:b w:val="0"/>
          <w:bCs w:val="0"/>
          <w:spacing w:val="-4"/>
          <w:sz w:val="28"/>
          <w:szCs w:val="28"/>
        </w:rPr>
        <w:t>截止12月</w:t>
      </w:r>
      <w:r>
        <w:rPr>
          <w:rStyle w:val="16"/>
          <w:rFonts w:hint="eastAsia" w:ascii="仿宋_GB2312" w:hAnsi="楷体" w:eastAsia="仿宋_GB2312"/>
          <w:b w:val="0"/>
          <w:bCs w:val="0"/>
          <w:spacing w:val="-4"/>
          <w:sz w:val="28"/>
          <w:szCs w:val="28"/>
          <w:lang w:val="en-US" w:eastAsia="zh-CN"/>
        </w:rPr>
        <w:t>31</w:t>
      </w:r>
      <w:r>
        <w:rPr>
          <w:rStyle w:val="16"/>
          <w:rFonts w:hint="eastAsia" w:ascii="仿宋_GB2312" w:hAnsi="楷体" w:eastAsia="仿宋_GB2312"/>
          <w:b w:val="0"/>
          <w:bCs w:val="0"/>
          <w:spacing w:val="-4"/>
          <w:sz w:val="28"/>
          <w:szCs w:val="28"/>
        </w:rPr>
        <w:t>日，该专项均按照时间计划保质、保量完成。</w:t>
      </w:r>
    </w:p>
    <w:p>
      <w:pPr>
        <w:pStyle w:val="6"/>
        <w:numPr>
          <w:ilvl w:val="0"/>
          <w:numId w:val="1"/>
        </w:numPr>
        <w:spacing w:line="360" w:lineRule="auto"/>
        <w:rPr>
          <w:rStyle w:val="16"/>
          <w:rFonts w:ascii="仿宋" w:hAnsi="仿宋" w:eastAsia="仿宋"/>
          <w:b/>
          <w:bCs/>
        </w:rPr>
      </w:pPr>
      <w:bookmarkStart w:id="21" w:name="_Toc70450309"/>
      <w:r>
        <w:rPr>
          <w:rStyle w:val="16"/>
          <w:rFonts w:hint="eastAsia" w:ascii="仿宋" w:hAnsi="仿宋" w:eastAsia="仿宋"/>
          <w:b/>
          <w:bCs/>
        </w:rPr>
        <w:t>专项管理情况分析</w:t>
      </w:r>
      <w:bookmarkEnd w:id="21"/>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1、资金到位及使用情况</w:t>
      </w:r>
    </w:p>
    <w:p>
      <w:pPr>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楷体" w:eastAsia="仿宋_GB2312"/>
          <w:b w:val="0"/>
          <w:spacing w:val="-4"/>
          <w:sz w:val="28"/>
          <w:szCs w:val="28"/>
        </w:rPr>
        <w:t>2</w:t>
      </w:r>
      <w:r>
        <w:rPr>
          <w:rStyle w:val="16"/>
          <w:rFonts w:ascii="仿宋_GB2312" w:hAnsi="楷体" w:eastAsia="仿宋_GB2312"/>
          <w:b w:val="0"/>
          <w:spacing w:val="-4"/>
          <w:sz w:val="28"/>
          <w:szCs w:val="28"/>
        </w:rPr>
        <w:t>021</w:t>
      </w:r>
      <w:r>
        <w:rPr>
          <w:rStyle w:val="16"/>
          <w:rFonts w:hint="eastAsia" w:ascii="仿宋_GB2312" w:hAnsi="楷体" w:eastAsia="仿宋_GB2312"/>
          <w:b w:val="0"/>
          <w:spacing w:val="-4"/>
          <w:sz w:val="28"/>
          <w:szCs w:val="28"/>
        </w:rPr>
        <w:t>年涉及专项资金</w:t>
      </w:r>
      <w:r>
        <w:rPr>
          <w:rStyle w:val="16"/>
          <w:rFonts w:hint="eastAsia" w:ascii="仿宋_GB2312" w:hAnsi="楷体" w:eastAsia="仿宋_GB2312"/>
          <w:b w:val="0"/>
          <w:spacing w:val="-4"/>
          <w:sz w:val="28"/>
          <w:szCs w:val="28"/>
          <w:lang w:val="en-US" w:eastAsia="zh-CN"/>
        </w:rPr>
        <w:t>144.23</w:t>
      </w:r>
      <w:r>
        <w:rPr>
          <w:rStyle w:val="16"/>
          <w:rFonts w:hint="eastAsia" w:ascii="仿宋_GB2312" w:hAnsi="楷体" w:eastAsia="仿宋_GB2312"/>
          <w:b w:val="0"/>
          <w:spacing w:val="-4"/>
          <w:sz w:val="28"/>
          <w:szCs w:val="28"/>
        </w:rPr>
        <w:t>万元，实际到位</w:t>
      </w:r>
      <w:r>
        <w:rPr>
          <w:rStyle w:val="16"/>
          <w:rFonts w:hint="eastAsia" w:ascii="仿宋_GB2312" w:hAnsi="楷体" w:eastAsia="仿宋_GB2312"/>
          <w:b w:val="0"/>
          <w:spacing w:val="-4"/>
          <w:sz w:val="28"/>
          <w:szCs w:val="28"/>
          <w:lang w:val="en-US" w:eastAsia="zh-CN"/>
        </w:rPr>
        <w:t>144.23</w:t>
      </w:r>
      <w:r>
        <w:rPr>
          <w:rStyle w:val="16"/>
          <w:rFonts w:hint="eastAsia" w:ascii="仿宋_GB2312" w:hAnsi="楷体" w:eastAsia="仿宋_GB2312"/>
          <w:b w:val="0"/>
          <w:spacing w:val="-4"/>
          <w:sz w:val="28"/>
          <w:szCs w:val="28"/>
        </w:rPr>
        <w:t>万元，资金到位率</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%。截止到</w:t>
      </w:r>
      <w:r>
        <w:rPr>
          <w:rStyle w:val="16"/>
          <w:rFonts w:ascii="仿宋_GB2312" w:hAnsi="楷体" w:eastAsia="仿宋_GB2312"/>
          <w:b w:val="0"/>
          <w:spacing w:val="-4"/>
          <w:sz w:val="28"/>
          <w:szCs w:val="28"/>
        </w:rPr>
        <w:t>2021</w:t>
      </w:r>
      <w:r>
        <w:rPr>
          <w:rStyle w:val="16"/>
          <w:rFonts w:hint="eastAsia" w:ascii="仿宋_GB2312" w:hAnsi="楷体" w:eastAsia="仿宋_GB2312"/>
          <w:b w:val="0"/>
          <w:spacing w:val="-4"/>
          <w:sz w:val="28"/>
          <w:szCs w:val="28"/>
        </w:rPr>
        <w:t>年1</w:t>
      </w:r>
      <w:r>
        <w:rPr>
          <w:rStyle w:val="16"/>
          <w:rFonts w:ascii="仿宋_GB2312" w:hAnsi="楷体" w:eastAsia="仿宋_GB2312"/>
          <w:b w:val="0"/>
          <w:spacing w:val="-4"/>
          <w:sz w:val="28"/>
          <w:szCs w:val="28"/>
        </w:rPr>
        <w:t>2</w:t>
      </w:r>
      <w:r>
        <w:rPr>
          <w:rStyle w:val="16"/>
          <w:rFonts w:hint="eastAsia" w:ascii="仿宋_GB2312" w:hAnsi="楷体" w:eastAsia="仿宋_GB2312"/>
          <w:b w:val="0"/>
          <w:spacing w:val="-4"/>
          <w:sz w:val="28"/>
          <w:szCs w:val="28"/>
        </w:rPr>
        <w:t>月</w:t>
      </w:r>
      <w:r>
        <w:rPr>
          <w:rStyle w:val="16"/>
          <w:rFonts w:hint="eastAsia" w:ascii="仿宋_GB2312" w:hAnsi="楷体" w:eastAsia="仿宋_GB2312"/>
          <w:b w:val="0"/>
          <w:spacing w:val="-4"/>
          <w:sz w:val="28"/>
          <w:szCs w:val="28"/>
          <w:lang w:val="en-US" w:eastAsia="zh-CN"/>
        </w:rPr>
        <w:t>31</w:t>
      </w:r>
      <w:r>
        <w:rPr>
          <w:rStyle w:val="16"/>
          <w:rFonts w:hint="eastAsia" w:ascii="仿宋_GB2312" w:hAnsi="楷体" w:eastAsia="仿宋_GB2312"/>
          <w:b w:val="0"/>
          <w:spacing w:val="-4"/>
          <w:sz w:val="28"/>
          <w:szCs w:val="28"/>
        </w:rPr>
        <w:t>日执行</w:t>
      </w:r>
      <w:r>
        <w:rPr>
          <w:rStyle w:val="16"/>
          <w:rFonts w:hint="eastAsia" w:ascii="仿宋_GB2312" w:hAnsi="楷体" w:eastAsia="仿宋_GB2312"/>
          <w:b w:val="0"/>
          <w:spacing w:val="-4"/>
          <w:sz w:val="28"/>
          <w:szCs w:val="28"/>
          <w:lang w:val="en-US" w:eastAsia="zh-CN"/>
        </w:rPr>
        <w:t>144.23</w:t>
      </w:r>
      <w:r>
        <w:rPr>
          <w:rStyle w:val="16"/>
          <w:rFonts w:hint="eastAsia" w:ascii="仿宋_GB2312" w:hAnsi="楷体" w:eastAsia="仿宋_GB2312"/>
          <w:b w:val="0"/>
          <w:spacing w:val="-4"/>
          <w:sz w:val="28"/>
          <w:szCs w:val="28"/>
        </w:rPr>
        <w:t>万元，执行率</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%。其中：20</w:t>
      </w:r>
      <w:r>
        <w:rPr>
          <w:rStyle w:val="16"/>
          <w:rFonts w:ascii="仿宋_GB2312" w:hAnsi="楷体" w:eastAsia="仿宋_GB2312"/>
          <w:b w:val="0"/>
          <w:spacing w:val="-4"/>
          <w:sz w:val="28"/>
          <w:szCs w:val="28"/>
        </w:rPr>
        <w:t>21</w:t>
      </w:r>
      <w:r>
        <w:rPr>
          <w:rStyle w:val="16"/>
          <w:rFonts w:hint="eastAsia" w:ascii="仿宋_GB2312" w:hAnsi="楷体" w:eastAsia="仿宋_GB2312"/>
          <w:b w:val="0"/>
          <w:spacing w:val="-4"/>
          <w:sz w:val="28"/>
          <w:szCs w:val="28"/>
        </w:rPr>
        <w:t>年结转专项资金</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万元，实际执行</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万元，执行率为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%；202</w:t>
      </w:r>
      <w:r>
        <w:rPr>
          <w:rStyle w:val="16"/>
          <w:rFonts w:ascii="仿宋_GB2312" w:hAnsi="楷体" w:eastAsia="仿宋_GB2312"/>
          <w:b w:val="0"/>
          <w:spacing w:val="-4"/>
          <w:sz w:val="28"/>
          <w:szCs w:val="28"/>
        </w:rPr>
        <w:t>1</w:t>
      </w:r>
      <w:r>
        <w:rPr>
          <w:rStyle w:val="16"/>
          <w:rFonts w:hint="eastAsia" w:ascii="仿宋_GB2312" w:hAnsi="楷体" w:eastAsia="仿宋_GB2312"/>
          <w:b w:val="0"/>
          <w:spacing w:val="-4"/>
          <w:sz w:val="28"/>
          <w:szCs w:val="28"/>
        </w:rPr>
        <w:t>年新增专项资金</w:t>
      </w:r>
      <w:r>
        <w:rPr>
          <w:rStyle w:val="16"/>
          <w:rFonts w:hint="eastAsia" w:ascii="仿宋_GB2312" w:hAnsi="楷体" w:eastAsia="仿宋_GB2312"/>
          <w:b w:val="0"/>
          <w:spacing w:val="-4"/>
          <w:sz w:val="28"/>
          <w:szCs w:val="28"/>
          <w:lang w:val="en-US" w:eastAsia="zh-CN"/>
        </w:rPr>
        <w:t>144.23</w:t>
      </w:r>
      <w:r>
        <w:rPr>
          <w:rStyle w:val="16"/>
          <w:rFonts w:hint="eastAsia" w:ascii="仿宋_GB2312" w:hAnsi="楷体" w:eastAsia="仿宋_GB2312"/>
          <w:b w:val="0"/>
          <w:spacing w:val="-4"/>
          <w:sz w:val="28"/>
          <w:szCs w:val="28"/>
        </w:rPr>
        <w:t>万元，实际执行</w:t>
      </w:r>
      <w:r>
        <w:rPr>
          <w:rStyle w:val="16"/>
          <w:rFonts w:hint="eastAsia" w:ascii="仿宋_GB2312" w:hAnsi="楷体" w:eastAsia="仿宋_GB2312"/>
          <w:b w:val="0"/>
          <w:spacing w:val="-4"/>
          <w:sz w:val="28"/>
          <w:szCs w:val="28"/>
          <w:lang w:val="en-US" w:eastAsia="zh-CN"/>
        </w:rPr>
        <w:t>144.23</w:t>
      </w:r>
      <w:r>
        <w:rPr>
          <w:rStyle w:val="16"/>
          <w:rFonts w:hint="eastAsia" w:ascii="仿宋_GB2312" w:hAnsi="楷体" w:eastAsia="仿宋_GB2312"/>
          <w:b w:val="0"/>
          <w:spacing w:val="-4"/>
          <w:sz w:val="28"/>
          <w:szCs w:val="28"/>
        </w:rPr>
        <w:t>万元，执行率为</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2、资金管理情况</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我单位严格执行《专项资金管理办法》文件精神要求，加强对专项资金的绩效管理，确保专款专用，提高专项资金使用效益。遵守相关法律法规，严肃财经纪律，自觉接受财政、审计、监察监督检查。</w:t>
      </w:r>
    </w:p>
    <w:p>
      <w:pPr>
        <w:pStyle w:val="6"/>
        <w:numPr>
          <w:ilvl w:val="0"/>
          <w:numId w:val="1"/>
        </w:numPr>
        <w:spacing w:line="360" w:lineRule="auto"/>
        <w:rPr>
          <w:rStyle w:val="16"/>
          <w:rFonts w:ascii="仿宋" w:hAnsi="仿宋" w:eastAsia="仿宋"/>
          <w:b/>
          <w:bCs/>
        </w:rPr>
      </w:pPr>
      <w:r>
        <w:rPr>
          <w:rStyle w:val="16"/>
          <w:rFonts w:hint="eastAsia" w:ascii="仿宋" w:hAnsi="仿宋" w:eastAsia="仿宋"/>
          <w:b/>
          <w:bCs/>
        </w:rPr>
        <w:t>项目实施情况分析</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w:t>
      </w:r>
      <w:r>
        <w:rPr>
          <w:rStyle w:val="16"/>
          <w:rFonts w:ascii="仿宋_GB2312" w:hAnsi="楷体" w:eastAsia="仿宋_GB2312"/>
          <w:b w:val="0"/>
          <w:spacing w:val="-4"/>
          <w:sz w:val="28"/>
          <w:szCs w:val="28"/>
        </w:rPr>
        <w:t>、组织情况</w:t>
      </w:r>
    </w:p>
    <w:p>
      <w:pPr>
        <w:spacing w:line="360" w:lineRule="auto"/>
        <w:ind w:firstLine="544" w:firstLineChars="200"/>
        <w:rPr>
          <w:rStyle w:val="16"/>
          <w:rFonts w:hint="eastAsia"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lang w:val="en-US" w:eastAsia="zh-CN"/>
        </w:rPr>
        <w:t>特克斯县残疾人联合会</w:t>
      </w:r>
      <w:r>
        <w:rPr>
          <w:rStyle w:val="16"/>
          <w:rFonts w:hint="eastAsia" w:ascii="仿宋_GB2312" w:hAnsi="楷体" w:eastAsia="仿宋_GB2312"/>
          <w:b w:val="0"/>
          <w:color w:val="auto"/>
          <w:spacing w:val="-4"/>
          <w:sz w:val="28"/>
          <w:szCs w:val="28"/>
        </w:rPr>
        <w:t>根据202</w:t>
      </w:r>
      <w:r>
        <w:rPr>
          <w:rStyle w:val="16"/>
          <w:rFonts w:ascii="仿宋_GB2312" w:hAnsi="楷体" w:eastAsia="仿宋_GB2312"/>
          <w:b w:val="0"/>
          <w:color w:val="auto"/>
          <w:spacing w:val="-4"/>
          <w:sz w:val="28"/>
          <w:szCs w:val="28"/>
        </w:rPr>
        <w:t>1</w:t>
      </w:r>
      <w:r>
        <w:rPr>
          <w:rStyle w:val="16"/>
          <w:rFonts w:hint="eastAsia" w:ascii="仿宋_GB2312" w:hAnsi="楷体" w:eastAsia="仿宋_GB2312"/>
          <w:b w:val="0"/>
          <w:color w:val="auto"/>
          <w:spacing w:val="-4"/>
          <w:sz w:val="28"/>
          <w:szCs w:val="28"/>
        </w:rPr>
        <w:t>年</w:t>
      </w:r>
      <w:r>
        <w:rPr>
          <w:rStyle w:val="16"/>
          <w:rFonts w:hint="eastAsia" w:ascii="仿宋_GB2312" w:hAnsi="楷体" w:eastAsia="仿宋_GB2312"/>
          <w:b w:val="0"/>
          <w:color w:val="auto"/>
          <w:spacing w:val="-4"/>
          <w:sz w:val="28"/>
          <w:szCs w:val="28"/>
          <w:lang w:val="en-US" w:eastAsia="zh-CN"/>
        </w:rPr>
        <w:t>1</w:t>
      </w:r>
      <w:r>
        <w:rPr>
          <w:rStyle w:val="16"/>
          <w:rFonts w:hint="eastAsia" w:ascii="仿宋_GB2312" w:hAnsi="楷体" w:eastAsia="仿宋_GB2312"/>
          <w:b w:val="0"/>
          <w:color w:val="auto"/>
          <w:spacing w:val="-4"/>
          <w:sz w:val="28"/>
          <w:szCs w:val="28"/>
        </w:rPr>
        <w:t>个项目的绩效目标及工作内容，将其细化分工至本单位</w:t>
      </w:r>
      <w:r>
        <w:rPr>
          <w:rStyle w:val="16"/>
          <w:rFonts w:hint="eastAsia" w:ascii="仿宋_GB2312" w:hAnsi="楷体" w:eastAsia="仿宋_GB2312"/>
          <w:b w:val="0"/>
          <w:color w:val="auto"/>
          <w:spacing w:val="-4"/>
          <w:sz w:val="28"/>
          <w:szCs w:val="28"/>
          <w:lang w:val="en-US" w:eastAsia="zh-CN"/>
        </w:rPr>
        <w:t>1</w:t>
      </w:r>
      <w:r>
        <w:rPr>
          <w:rStyle w:val="16"/>
          <w:rFonts w:hint="eastAsia" w:ascii="仿宋_GB2312" w:hAnsi="楷体" w:eastAsia="仿宋_GB2312"/>
          <w:b w:val="0"/>
          <w:color w:val="auto"/>
          <w:spacing w:val="-4"/>
          <w:sz w:val="28"/>
          <w:szCs w:val="28"/>
        </w:rPr>
        <w:t>个科室，加强组织领导，明确分工，各司其职，抓好工作目标任务的落实完成，同时年中要求各科室按照年初预算对本科室绩效工作进行自查自评，并报上半年工作情况总结，</w:t>
      </w:r>
      <w:r>
        <w:rPr>
          <w:rStyle w:val="16"/>
          <w:rFonts w:ascii="仿宋_GB2312" w:hAnsi="楷体" w:eastAsia="仿宋_GB2312"/>
          <w:b w:val="0"/>
          <w:color w:val="auto"/>
          <w:spacing w:val="-4"/>
          <w:sz w:val="28"/>
          <w:szCs w:val="28"/>
        </w:rPr>
        <w:t>5</w:t>
      </w:r>
      <w:r>
        <w:rPr>
          <w:rStyle w:val="16"/>
          <w:rFonts w:hint="eastAsia" w:ascii="仿宋_GB2312" w:hAnsi="楷体" w:eastAsia="仿宋_GB2312"/>
          <w:b w:val="0"/>
          <w:color w:val="auto"/>
          <w:spacing w:val="-4"/>
          <w:sz w:val="28"/>
          <w:szCs w:val="28"/>
        </w:rPr>
        <w:t>月和8月对工作情况进行跟踪检查，确保绩效目标如期实现，不断提高财政资金配置和使用效益。</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w:t>
      </w:r>
      <w:r>
        <w:rPr>
          <w:rStyle w:val="16"/>
          <w:rFonts w:ascii="仿宋_GB2312" w:hAnsi="楷体" w:eastAsia="仿宋_GB2312"/>
          <w:b w:val="0"/>
          <w:spacing w:val="-4"/>
          <w:sz w:val="28"/>
          <w:szCs w:val="28"/>
        </w:rPr>
        <w:t>、管理情况</w:t>
      </w:r>
    </w:p>
    <w:p>
      <w:pPr>
        <w:spacing w:line="360" w:lineRule="auto"/>
        <w:ind w:firstLine="544" w:firstLineChars="200"/>
        <w:rPr>
          <w:rStyle w:val="16"/>
          <w:rFonts w:hint="eastAsia"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lang w:val="en-US" w:eastAsia="zh-CN"/>
        </w:rPr>
        <w:t>特克斯县残疾人联合会</w:t>
      </w:r>
      <w:r>
        <w:rPr>
          <w:rStyle w:val="16"/>
          <w:rFonts w:hint="eastAsia" w:ascii="仿宋_GB2312" w:hAnsi="楷体" w:eastAsia="仿宋_GB2312"/>
          <w:b w:val="0"/>
          <w:color w:val="auto"/>
          <w:spacing w:val="-4"/>
          <w:sz w:val="28"/>
          <w:szCs w:val="28"/>
        </w:rPr>
        <w:t>，实施的</w:t>
      </w:r>
      <w:r>
        <w:rPr>
          <w:rStyle w:val="16"/>
          <w:rFonts w:hint="eastAsia" w:ascii="仿宋_GB2312" w:hAnsi="楷体" w:eastAsia="仿宋_GB2312"/>
          <w:b w:val="0"/>
          <w:color w:val="auto"/>
          <w:spacing w:val="-4"/>
          <w:sz w:val="28"/>
          <w:szCs w:val="28"/>
          <w:lang w:val="en-US" w:eastAsia="zh-CN"/>
        </w:rPr>
        <w:t>1</w:t>
      </w:r>
      <w:r>
        <w:rPr>
          <w:rStyle w:val="16"/>
          <w:rFonts w:hint="eastAsia" w:ascii="仿宋_GB2312" w:hAnsi="楷体" w:eastAsia="仿宋_GB2312"/>
          <w:b w:val="0"/>
          <w:color w:val="auto"/>
          <w:spacing w:val="-4"/>
          <w:sz w:val="28"/>
          <w:szCs w:val="28"/>
        </w:rPr>
        <w:t>个项目，由相关业务科室指派专人进行全过程跟踪管理，科室负责人统筹推进项目实施，单位领导不定期对项目进度进行调度，并对项目质量进行控制。</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w:t>
      </w:r>
      <w:r>
        <w:rPr>
          <w:rStyle w:val="16"/>
          <w:rFonts w:ascii="仿宋_GB2312" w:hAnsi="楷体" w:eastAsia="仿宋_GB2312"/>
          <w:b w:val="0"/>
          <w:spacing w:val="-4"/>
          <w:sz w:val="28"/>
          <w:szCs w:val="28"/>
        </w:rPr>
        <w:t>、监管情况</w:t>
      </w:r>
    </w:p>
    <w:p>
      <w:pPr>
        <w:spacing w:line="360" w:lineRule="auto"/>
        <w:ind w:firstLine="544" w:firstLineChars="200"/>
        <w:rPr>
          <w:rStyle w:val="16"/>
          <w:rFonts w:hint="eastAsia"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lang w:val="en-US" w:eastAsia="zh-CN"/>
        </w:rPr>
        <w:t>特克斯县残疾人就业保障所</w:t>
      </w:r>
      <w:r>
        <w:rPr>
          <w:rStyle w:val="16"/>
          <w:rFonts w:hint="eastAsia" w:ascii="仿宋_GB2312" w:hAnsi="楷体" w:eastAsia="仿宋_GB2312"/>
          <w:b w:val="0"/>
          <w:color w:val="auto"/>
          <w:spacing w:val="-4"/>
          <w:sz w:val="28"/>
          <w:szCs w:val="28"/>
        </w:rPr>
        <w:t>从项目实施方案、项目预算、项目建设进度、项目成本、项目验收等环节，全过程对项目进行监管，并向本单位主要领导报告，以推进项目建设和提高项目质量，以发挥资金使用效益。</w:t>
      </w:r>
    </w:p>
    <w:p>
      <w:pPr>
        <w:pStyle w:val="6"/>
        <w:numPr>
          <w:ilvl w:val="0"/>
          <w:numId w:val="1"/>
        </w:numPr>
        <w:spacing w:line="360" w:lineRule="auto"/>
        <w:rPr>
          <w:rStyle w:val="16"/>
          <w:rFonts w:ascii="仿宋" w:hAnsi="仿宋" w:eastAsia="仿宋"/>
          <w:b/>
          <w:bCs/>
        </w:rPr>
      </w:pPr>
      <w:r>
        <w:rPr>
          <w:rStyle w:val="16"/>
          <w:rFonts w:hint="eastAsia" w:ascii="仿宋" w:hAnsi="仿宋" w:eastAsia="仿宋"/>
          <w:b/>
          <w:bCs/>
        </w:rPr>
        <w:t>绩效情况分析</w:t>
      </w:r>
    </w:p>
    <w:p>
      <w:pPr>
        <w:spacing w:line="360" w:lineRule="auto"/>
        <w:ind w:firstLine="544" w:firstLineChars="200"/>
        <w:rPr>
          <w:rStyle w:val="16"/>
          <w:rFonts w:ascii="仿宋_GB2312" w:hAnsi="楷体" w:eastAsia="仿宋_GB2312"/>
          <w:b w:val="0"/>
          <w:bCs w:val="0"/>
          <w:spacing w:val="-4"/>
          <w:sz w:val="28"/>
          <w:szCs w:val="28"/>
        </w:rPr>
      </w:pPr>
      <w:r>
        <w:rPr>
          <w:rStyle w:val="16"/>
          <w:rFonts w:hint="eastAsia" w:ascii="仿宋_GB2312" w:hAnsi="楷体" w:eastAsia="仿宋_GB2312"/>
          <w:b w:val="0"/>
          <w:bCs w:val="0"/>
          <w:spacing w:val="-4"/>
          <w:sz w:val="28"/>
          <w:szCs w:val="28"/>
        </w:rPr>
        <w:t>1</w:t>
      </w:r>
      <w:r>
        <w:rPr>
          <w:rStyle w:val="16"/>
          <w:rFonts w:ascii="仿宋_GB2312" w:hAnsi="楷体" w:eastAsia="仿宋_GB2312"/>
          <w:b w:val="0"/>
          <w:bCs w:val="0"/>
          <w:spacing w:val="-4"/>
          <w:sz w:val="28"/>
          <w:szCs w:val="28"/>
        </w:rPr>
        <w:t>、成本控制情况</w:t>
      </w:r>
    </w:p>
    <w:p>
      <w:pPr>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lang w:val="en-US" w:eastAsia="zh-CN"/>
        </w:rPr>
        <w:t>特克斯县残疾人联合会</w:t>
      </w:r>
      <w:r>
        <w:rPr>
          <w:rStyle w:val="16"/>
          <w:rFonts w:hint="eastAsia" w:ascii="仿宋_GB2312" w:hAnsi="楷体" w:eastAsia="仿宋_GB2312"/>
          <w:b w:val="0"/>
          <w:spacing w:val="-4"/>
          <w:sz w:val="28"/>
          <w:szCs w:val="28"/>
        </w:rPr>
        <w:t>，所涉及专项项目均已于专项资金下达后按照资金文件及绩效管理要求设置《项目绩效目标表》。</w:t>
      </w:r>
      <w:r>
        <w:rPr>
          <w:rStyle w:val="16"/>
          <w:rFonts w:hint="eastAsia" w:ascii="仿宋_GB2312" w:hAnsi="楷体" w:eastAsia="仿宋_GB2312"/>
          <w:b w:val="0"/>
          <w:spacing w:val="-4"/>
          <w:sz w:val="28"/>
          <w:szCs w:val="28"/>
          <w:lang w:val="en-US" w:eastAsia="zh-CN"/>
        </w:rPr>
        <w:t>1</w:t>
      </w:r>
      <w:r>
        <w:rPr>
          <w:rStyle w:val="16"/>
          <w:rFonts w:hint="eastAsia" w:ascii="仿宋_GB2312" w:hAnsi="楷体" w:eastAsia="仿宋_GB2312"/>
          <w:b w:val="0"/>
          <w:spacing w:val="-4"/>
          <w:sz w:val="28"/>
          <w:szCs w:val="28"/>
        </w:rPr>
        <w:t>个专项项目预算总额为</w:t>
      </w:r>
      <w:r>
        <w:rPr>
          <w:rStyle w:val="16"/>
          <w:rFonts w:hint="eastAsia" w:ascii="仿宋_GB2312" w:hAnsi="楷体" w:eastAsia="仿宋_GB2312"/>
          <w:b w:val="0"/>
          <w:spacing w:val="-4"/>
          <w:sz w:val="28"/>
          <w:szCs w:val="28"/>
          <w:lang w:val="en-US" w:eastAsia="zh-CN"/>
        </w:rPr>
        <w:t>144.23</w:t>
      </w:r>
      <w:r>
        <w:rPr>
          <w:rStyle w:val="16"/>
          <w:rFonts w:hint="eastAsia" w:ascii="仿宋_GB2312" w:hAnsi="楷体" w:eastAsia="仿宋_GB2312"/>
          <w:b w:val="0"/>
          <w:spacing w:val="-4"/>
          <w:sz w:val="28"/>
          <w:szCs w:val="28"/>
        </w:rPr>
        <w:t>万元，在项目实施过程中，业务人员加强项目管理，合理控制项目成本，截止项目结束，</w:t>
      </w:r>
      <w:r>
        <w:rPr>
          <w:rStyle w:val="16"/>
          <w:rFonts w:hint="eastAsia" w:ascii="仿宋_GB2312" w:hAnsi="楷体" w:eastAsia="仿宋_GB2312"/>
          <w:b w:val="0"/>
          <w:spacing w:val="-4"/>
          <w:sz w:val="28"/>
          <w:szCs w:val="28"/>
          <w:lang w:val="en-US" w:eastAsia="zh-CN"/>
        </w:rPr>
        <w:t>1</w:t>
      </w:r>
      <w:r>
        <w:rPr>
          <w:rStyle w:val="16"/>
          <w:rFonts w:hint="eastAsia" w:ascii="仿宋_GB2312" w:hAnsi="楷体" w:eastAsia="仿宋_GB2312"/>
          <w:b w:val="0"/>
          <w:spacing w:val="-4"/>
          <w:sz w:val="28"/>
          <w:szCs w:val="28"/>
        </w:rPr>
        <w:t>个项目总成本为</w:t>
      </w:r>
      <w:r>
        <w:rPr>
          <w:rStyle w:val="16"/>
          <w:rFonts w:hint="eastAsia" w:ascii="仿宋_GB2312" w:hAnsi="楷体" w:eastAsia="仿宋_GB2312"/>
          <w:b w:val="0"/>
          <w:spacing w:val="-4"/>
          <w:sz w:val="28"/>
          <w:szCs w:val="28"/>
          <w:lang w:val="en-US" w:eastAsia="zh-CN"/>
        </w:rPr>
        <w:t>144.23</w:t>
      </w:r>
      <w:r>
        <w:rPr>
          <w:rStyle w:val="16"/>
          <w:rFonts w:hint="eastAsia" w:ascii="仿宋_GB2312" w:hAnsi="楷体" w:eastAsia="仿宋_GB2312"/>
          <w:b w:val="0"/>
          <w:spacing w:val="-4"/>
          <w:sz w:val="28"/>
          <w:szCs w:val="28"/>
        </w:rPr>
        <w:t>万元，不存在超支情况。</w:t>
      </w:r>
    </w:p>
    <w:p>
      <w:pPr>
        <w:spacing w:line="360" w:lineRule="auto"/>
        <w:ind w:firstLine="544" w:firstLineChars="200"/>
        <w:rPr>
          <w:rStyle w:val="16"/>
          <w:rFonts w:ascii="仿宋_GB2312" w:hAnsi="楷体" w:eastAsia="仿宋_GB2312"/>
          <w:b w:val="0"/>
          <w:bCs w:val="0"/>
          <w:spacing w:val="-4"/>
          <w:sz w:val="28"/>
          <w:szCs w:val="28"/>
        </w:rPr>
      </w:pPr>
      <w:r>
        <w:rPr>
          <w:rStyle w:val="16"/>
          <w:rFonts w:hint="eastAsia" w:ascii="仿宋_GB2312" w:hAnsi="楷体" w:eastAsia="仿宋_GB2312"/>
          <w:b w:val="0"/>
          <w:bCs w:val="0"/>
          <w:spacing w:val="-4"/>
          <w:sz w:val="28"/>
          <w:szCs w:val="28"/>
        </w:rPr>
        <w:t>2</w:t>
      </w:r>
      <w:r>
        <w:rPr>
          <w:rStyle w:val="16"/>
          <w:rFonts w:ascii="仿宋_GB2312" w:hAnsi="楷体" w:eastAsia="仿宋_GB2312"/>
          <w:b w:val="0"/>
          <w:bCs w:val="0"/>
          <w:spacing w:val="-4"/>
          <w:sz w:val="28"/>
          <w:szCs w:val="28"/>
        </w:rPr>
        <w:t>、成本节约情况</w:t>
      </w:r>
    </w:p>
    <w:p>
      <w:pPr>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lang w:val="en-US" w:eastAsia="zh-CN"/>
        </w:rPr>
        <w:t>特克斯县残疾人联合会</w:t>
      </w:r>
      <w:r>
        <w:rPr>
          <w:rStyle w:val="16"/>
          <w:rFonts w:hint="eastAsia" w:ascii="仿宋_GB2312" w:hAnsi="楷体" w:eastAsia="仿宋_GB2312"/>
          <w:b w:val="0"/>
          <w:spacing w:val="-4"/>
          <w:sz w:val="28"/>
          <w:szCs w:val="28"/>
        </w:rPr>
        <w:t>，所涉及专项项目使用资金比专项项目总预算减少</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w:t>
      </w:r>
      <w:bookmarkStart w:id="22" w:name="_Hlk96097132"/>
      <w:r>
        <w:rPr>
          <w:rStyle w:val="16"/>
          <w:rFonts w:hint="eastAsia" w:ascii="仿宋_GB2312" w:hAnsi="楷体" w:eastAsia="仿宋_GB2312"/>
          <w:b w:val="0"/>
          <w:spacing w:val="-4"/>
          <w:sz w:val="28"/>
          <w:szCs w:val="28"/>
        </w:rPr>
        <w:t>项目节约率</w:t>
      </w:r>
      <w:bookmarkEnd w:id="22"/>
      <w:r>
        <w:rPr>
          <w:rStyle w:val="16"/>
          <w:rFonts w:hint="eastAsia" w:ascii="仿宋_GB2312" w:hAnsi="楷体" w:eastAsia="仿宋_GB2312"/>
          <w:b w:val="0"/>
          <w:spacing w:val="-4"/>
          <w:sz w:val="28"/>
          <w:szCs w:val="28"/>
        </w:rPr>
        <w:t>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w:t>
      </w:r>
    </w:p>
    <w:p>
      <w:pPr>
        <w:pStyle w:val="6"/>
        <w:numPr>
          <w:ilvl w:val="0"/>
          <w:numId w:val="1"/>
        </w:numPr>
        <w:spacing w:line="360" w:lineRule="auto"/>
        <w:rPr>
          <w:rStyle w:val="16"/>
          <w:rFonts w:hint="eastAsia" w:ascii="仿宋" w:hAnsi="仿宋" w:eastAsia="仿宋"/>
          <w:b/>
          <w:bCs/>
        </w:rPr>
      </w:pPr>
      <w:r>
        <w:rPr>
          <w:rStyle w:val="16"/>
          <w:rFonts w:hint="eastAsia" w:ascii="仿宋" w:hAnsi="仿宋" w:eastAsia="仿宋"/>
          <w:b/>
          <w:bCs/>
        </w:rPr>
        <w:t>项目效率性分析</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1、实施进度</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2021年</w:t>
      </w:r>
      <w:r>
        <w:rPr>
          <w:rStyle w:val="16"/>
          <w:rFonts w:hint="eastAsia" w:ascii="仿宋_GB2312" w:hAnsi="楷体" w:eastAsia="仿宋_GB2312"/>
          <w:b w:val="0"/>
          <w:spacing w:val="-4"/>
          <w:sz w:val="28"/>
          <w:szCs w:val="28"/>
          <w:lang w:val="en-US" w:eastAsia="zh-CN"/>
        </w:rPr>
        <w:t>特克斯县残疾人联合会</w:t>
      </w:r>
      <w:r>
        <w:rPr>
          <w:rStyle w:val="16"/>
          <w:rFonts w:hint="eastAsia" w:ascii="仿宋_GB2312" w:hAnsi="楷体" w:eastAsia="仿宋_GB2312"/>
          <w:b w:val="0"/>
          <w:spacing w:val="-4"/>
          <w:sz w:val="28"/>
          <w:szCs w:val="28"/>
        </w:rPr>
        <w:t>共涉及专项项目</w:t>
      </w:r>
      <w:r>
        <w:rPr>
          <w:rStyle w:val="16"/>
          <w:rFonts w:hint="eastAsia" w:ascii="仿宋_GB2312" w:hAnsi="楷体" w:eastAsia="仿宋_GB2312"/>
          <w:b w:val="0"/>
          <w:spacing w:val="-4"/>
          <w:sz w:val="28"/>
          <w:szCs w:val="28"/>
          <w:lang w:val="en-US" w:eastAsia="zh-CN"/>
        </w:rPr>
        <w:t>1</w:t>
      </w:r>
      <w:r>
        <w:rPr>
          <w:rStyle w:val="16"/>
          <w:rFonts w:hint="eastAsia" w:ascii="仿宋_GB2312" w:hAnsi="楷体" w:eastAsia="仿宋_GB2312"/>
          <w:b w:val="0"/>
          <w:spacing w:val="-4"/>
          <w:sz w:val="28"/>
          <w:szCs w:val="28"/>
        </w:rPr>
        <w:t>个，截止到202</w:t>
      </w:r>
      <w:r>
        <w:rPr>
          <w:rStyle w:val="16"/>
          <w:rFonts w:hint="eastAsia" w:ascii="仿宋_GB2312" w:hAnsi="楷体" w:eastAsia="仿宋_GB2312"/>
          <w:b w:val="0"/>
          <w:spacing w:val="-4"/>
          <w:sz w:val="28"/>
          <w:szCs w:val="28"/>
          <w:lang w:val="en-US" w:eastAsia="zh-CN"/>
        </w:rPr>
        <w:t>1</w:t>
      </w:r>
      <w:r>
        <w:rPr>
          <w:rStyle w:val="16"/>
          <w:rFonts w:hint="eastAsia" w:ascii="仿宋_GB2312" w:hAnsi="楷体" w:eastAsia="仿宋_GB2312"/>
          <w:b w:val="0"/>
          <w:spacing w:val="-4"/>
          <w:sz w:val="28"/>
          <w:szCs w:val="28"/>
        </w:rPr>
        <w:t>年底，通过专项项目实施过程中的有效监督，我单位按预期完成了</w:t>
      </w:r>
      <w:r>
        <w:rPr>
          <w:rStyle w:val="16"/>
          <w:rFonts w:hint="eastAsia" w:ascii="仿宋_GB2312" w:hAnsi="楷体" w:eastAsia="仿宋_GB2312"/>
          <w:b w:val="0"/>
          <w:spacing w:val="-4"/>
          <w:sz w:val="28"/>
          <w:szCs w:val="28"/>
          <w:lang w:val="en-US" w:eastAsia="zh-CN"/>
        </w:rPr>
        <w:t>1</w:t>
      </w:r>
      <w:r>
        <w:rPr>
          <w:rStyle w:val="16"/>
          <w:rFonts w:hint="eastAsia" w:ascii="仿宋_GB2312" w:hAnsi="楷体" w:eastAsia="仿宋_GB2312"/>
          <w:b w:val="0"/>
          <w:spacing w:val="-4"/>
          <w:sz w:val="28"/>
          <w:szCs w:val="28"/>
        </w:rPr>
        <w:t>个专项的各项专项任务，项目总体完成率为</w:t>
      </w:r>
      <w:r>
        <w:rPr>
          <w:rStyle w:val="16"/>
          <w:rFonts w:hint="eastAsia" w:ascii="仿宋_GB2312" w:hAnsi="楷体" w:eastAsia="仿宋_GB2312"/>
          <w:b w:val="0"/>
          <w:spacing w:val="-4"/>
          <w:sz w:val="28"/>
          <w:szCs w:val="28"/>
        </w:rPr>
        <w:tab/>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2、完成质量</w:t>
      </w:r>
    </w:p>
    <w:p>
      <w:pPr>
        <w:spacing w:line="360" w:lineRule="auto"/>
        <w:ind w:firstLine="544" w:firstLineChars="200"/>
        <w:rPr>
          <w:rStyle w:val="16"/>
          <w:rFonts w:hint="eastAsia" w:ascii="仿宋_GB2312" w:hAnsi="楷体" w:eastAsia="仿宋_GB2312"/>
          <w:b w:val="0"/>
          <w:spacing w:val="-4"/>
          <w:sz w:val="28"/>
          <w:szCs w:val="28"/>
        </w:rPr>
      </w:pPr>
      <w:bookmarkStart w:id="23" w:name="_Hlk96100380"/>
      <w:r>
        <w:rPr>
          <w:rStyle w:val="16"/>
          <w:rFonts w:hint="eastAsia" w:ascii="仿宋_GB2312" w:hAnsi="楷体" w:eastAsia="仿宋_GB2312"/>
          <w:b w:val="0"/>
          <w:spacing w:val="-4"/>
          <w:sz w:val="28"/>
          <w:szCs w:val="28"/>
          <w:lang w:val="en-US" w:eastAsia="zh-CN"/>
        </w:rPr>
        <w:t>1</w:t>
      </w:r>
      <w:r>
        <w:rPr>
          <w:rStyle w:val="16"/>
          <w:rFonts w:hint="eastAsia" w:ascii="仿宋_GB2312" w:hAnsi="楷体" w:eastAsia="仿宋_GB2312"/>
          <w:b w:val="0"/>
          <w:spacing w:val="-4"/>
          <w:sz w:val="28"/>
          <w:szCs w:val="28"/>
        </w:rPr>
        <w:t>个专项项目完成质量情况如下：</w:t>
      </w:r>
      <w:bookmarkEnd w:id="23"/>
    </w:p>
    <w:p>
      <w:pPr>
        <w:spacing w:line="360" w:lineRule="auto"/>
        <w:ind w:firstLine="544" w:firstLineChars="200"/>
        <w:rPr>
          <w:rStyle w:val="16"/>
          <w:rFonts w:ascii="仿宋_GB2312" w:hAnsi="楷体" w:eastAsia="仿宋_GB2312"/>
          <w:b w:val="0"/>
          <w:color w:val="FF0000"/>
          <w:spacing w:val="-4"/>
          <w:sz w:val="28"/>
          <w:szCs w:val="28"/>
        </w:rPr>
      </w:pPr>
      <w:r>
        <w:rPr>
          <w:rStyle w:val="16"/>
          <w:rFonts w:hint="eastAsia" w:ascii="仿宋_GB2312" w:hAnsi="楷体" w:eastAsia="仿宋_GB2312"/>
          <w:b w:val="0"/>
          <w:spacing w:val="-4"/>
          <w:sz w:val="28"/>
          <w:szCs w:val="28"/>
        </w:rPr>
        <w:t>①</w:t>
      </w:r>
      <w:r>
        <w:rPr>
          <w:rStyle w:val="16"/>
          <w:rFonts w:hint="eastAsia" w:ascii="仿宋_GB2312" w:hAnsi="楷体" w:eastAsia="仿宋_GB2312"/>
          <w:b w:val="0"/>
          <w:spacing w:val="-4"/>
          <w:sz w:val="28"/>
          <w:szCs w:val="28"/>
          <w:lang w:val="en-US" w:eastAsia="zh-CN"/>
        </w:rPr>
        <w:t>2021年残疾人事业发展补助</w:t>
      </w:r>
      <w:r>
        <w:rPr>
          <w:rStyle w:val="16"/>
          <w:rFonts w:hint="eastAsia" w:ascii="仿宋_GB2312" w:hAnsi="楷体" w:eastAsia="仿宋_GB2312"/>
          <w:b w:val="0"/>
          <w:spacing w:val="-4"/>
          <w:sz w:val="28"/>
          <w:szCs w:val="28"/>
        </w:rPr>
        <w:t>项目完成通过开展残疾人基本康复服务项目年度工作，为残疾人配置辅助器具，为肢体、视力、精神、智力残疾人提供基本康复服务，努力提高受助残疾人生活自理和社会参与能力，为0-6岁的残疾儿童提供康复救助，努力实现残疾儿童普遍享有基本康复服务。建立扶残助学长效机制，保障家庭经济困难残疾学生和残疾人家庭子女顺利完成学业。通过残疾人服务相关信息数据的动态更新,及时掌握全面建成小康社会进程中残疾人的基本服务状况和需求，通过建立健全残疾人工作大数据平台,促进各级政府残工委成员单位之间相关数据的资源共享 。为全县残疾人家庭实施无障碍改造,包括地面平整及坡化、低位灶台(盲人家庭灶台有煤气泄漏报警装置)、房门改造、坐便器改造、安装卫生间热水器、扶手或抓杆(洗手池扶手、坐便器扶手、淋浴扶手)、浴凳及改善残疾人家居卫生条件的其他设施等无障碍设施改造 。通过“阳光家园计划”项目年度工作的实施,帮助残疾人得到托养照料 。完成农村实用技术培训年度工作,帮助农村贫困残疾人提高生产增收技能。</w:t>
      </w:r>
    </w:p>
    <w:p>
      <w:pPr>
        <w:pStyle w:val="6"/>
        <w:numPr>
          <w:ilvl w:val="0"/>
          <w:numId w:val="1"/>
        </w:numPr>
        <w:spacing w:line="360" w:lineRule="auto"/>
        <w:rPr>
          <w:rStyle w:val="16"/>
          <w:rFonts w:ascii="仿宋" w:hAnsi="仿宋" w:eastAsia="仿宋"/>
          <w:b/>
          <w:bCs/>
        </w:rPr>
      </w:pPr>
      <w:r>
        <w:rPr>
          <w:rStyle w:val="16"/>
          <w:rFonts w:hint="eastAsia" w:ascii="仿宋" w:hAnsi="仿宋" w:eastAsia="仿宋"/>
          <w:b/>
          <w:bCs/>
        </w:rPr>
        <w:t>项目效益性分析</w:t>
      </w:r>
    </w:p>
    <w:p>
      <w:pPr>
        <w:ind w:firstLine="544" w:firstLineChars="200"/>
        <w:rPr>
          <w:rStyle w:val="16"/>
          <w:rFonts w:ascii="仿宋_GB2312" w:hAnsi="楷体" w:eastAsia="仿宋_GB2312"/>
          <w:b w:val="0"/>
          <w:bCs w:val="0"/>
          <w:spacing w:val="-4"/>
          <w:sz w:val="28"/>
          <w:szCs w:val="28"/>
        </w:rPr>
      </w:pPr>
      <w:r>
        <w:rPr>
          <w:rStyle w:val="16"/>
          <w:rFonts w:hint="eastAsia" w:ascii="仿宋_GB2312" w:hAnsi="楷体" w:eastAsia="仿宋_GB2312"/>
          <w:b w:val="0"/>
          <w:bCs w:val="0"/>
          <w:spacing w:val="-4"/>
          <w:sz w:val="28"/>
          <w:szCs w:val="28"/>
          <w:lang w:val="en-US" w:eastAsia="zh-CN"/>
        </w:rPr>
        <w:t>1</w:t>
      </w:r>
      <w:r>
        <w:rPr>
          <w:rStyle w:val="16"/>
          <w:rFonts w:hint="eastAsia" w:ascii="仿宋_GB2312" w:hAnsi="楷体" w:eastAsia="仿宋_GB2312"/>
          <w:b w:val="0"/>
          <w:bCs w:val="0"/>
          <w:spacing w:val="-4"/>
          <w:sz w:val="28"/>
          <w:szCs w:val="28"/>
        </w:rPr>
        <w:t>个专项项目预期目标完成程度、实施对经济和社会的影响如下：</w:t>
      </w:r>
    </w:p>
    <w:p>
      <w:pPr>
        <w:spacing w:line="360" w:lineRule="auto"/>
        <w:ind w:firstLine="544" w:firstLineChars="200"/>
        <w:rPr>
          <w:rStyle w:val="16"/>
          <w:rFonts w:ascii="仿宋_GB2312" w:hAnsi="楷体" w:eastAsia="仿宋_GB2312"/>
          <w:b w:val="0"/>
          <w:color w:val="FF0000"/>
          <w:spacing w:val="-4"/>
          <w:sz w:val="28"/>
          <w:szCs w:val="28"/>
        </w:rPr>
      </w:pPr>
      <w:r>
        <w:rPr>
          <w:rStyle w:val="16"/>
          <w:rFonts w:hint="eastAsia" w:ascii="仿宋_GB2312" w:hAnsi="楷体" w:eastAsia="仿宋_GB2312"/>
          <w:b w:val="0"/>
          <w:spacing w:val="-4"/>
          <w:sz w:val="28"/>
          <w:szCs w:val="28"/>
        </w:rPr>
        <w:t>1、</w:t>
      </w:r>
      <w:r>
        <w:rPr>
          <w:rStyle w:val="16"/>
          <w:rFonts w:hint="eastAsia" w:ascii="仿宋_GB2312" w:hAnsi="楷体" w:eastAsia="仿宋_GB2312"/>
          <w:b w:val="0"/>
          <w:spacing w:val="-4"/>
          <w:sz w:val="28"/>
          <w:szCs w:val="28"/>
          <w:lang w:val="en-US" w:eastAsia="zh-CN"/>
        </w:rPr>
        <w:t>2021年残疾人事业发展补助</w:t>
      </w:r>
      <w:r>
        <w:rPr>
          <w:rStyle w:val="16"/>
          <w:rFonts w:hint="eastAsia" w:ascii="仿宋_GB2312" w:hAnsi="楷体" w:eastAsia="仿宋_GB2312"/>
          <w:b w:val="0"/>
          <w:spacing w:val="-4"/>
          <w:sz w:val="28"/>
          <w:szCs w:val="28"/>
        </w:rPr>
        <w:t>项目通过开展残疾人基本康复服务项目年度工作，为残疾人配置辅助器具，为肢体、视力、精神、智力残疾人提供基本康复服务，努力提高受助残疾人生活自理和社会参与能力，为0-6岁的残疾儿童提供康复救助，努力实现残疾儿童普遍享有基本康复服务。建立扶残助学长效机制，保障家庭经济困难残疾学生和残疾人家庭子女顺利完成学业。通过残疾人服务相关信息数据的动态更新,及时掌握全面建成小康社会进程中残疾人的基本服务状况和需求，通过建立健全残疾人工作大数据平台,促进各级政府残工委成员单位之间相关数据的资源共享 。为全县残疾人家庭实施无障碍改造,包括地面平整及坡化、低位灶台(盲人家庭灶台有煤气泄漏报警装置)、房门改造、坐便器改造、安装卫生间热水器、扶手或抓杆(洗手池扶手、坐便器扶手、淋浴扶手)、浴凳及改善残疾人家居卫生条件的其他设施等无障碍设施改造 。通过“阳光家园计划”项目年度工作的实施,帮助残疾人得到托养照料 。完成农村实用技术培训年度工作,帮助农村贫困残疾人提高生产增收技能</w:t>
      </w:r>
      <w:r>
        <w:rPr>
          <w:rStyle w:val="16"/>
          <w:rFonts w:hint="eastAsia" w:ascii="仿宋_GB2312" w:hAnsi="楷体" w:eastAsia="仿宋_GB2312"/>
          <w:b w:val="0"/>
          <w:spacing w:val="-4"/>
          <w:sz w:val="28"/>
          <w:szCs w:val="28"/>
          <w:lang w:eastAsia="zh-CN"/>
        </w:rPr>
        <w:t>。</w:t>
      </w:r>
    </w:p>
    <w:p>
      <w:pPr>
        <w:ind w:firstLine="544" w:firstLineChars="200"/>
        <w:rPr>
          <w:rStyle w:val="16"/>
          <w:rFonts w:hint="eastAsia" w:ascii="仿宋_GB2312" w:hAnsi="楷体" w:eastAsia="仿宋_GB2312"/>
          <w:b w:val="0"/>
          <w:bCs w:val="0"/>
          <w:spacing w:val="-4"/>
          <w:sz w:val="28"/>
          <w:szCs w:val="28"/>
        </w:rPr>
      </w:pPr>
    </w:p>
    <w:p>
      <w:pPr>
        <w:rPr>
          <w:rFonts w:hint="eastAsia"/>
        </w:rPr>
      </w:pPr>
    </w:p>
    <w:p>
      <w:pPr>
        <w:pStyle w:val="4"/>
        <w:spacing w:line="360" w:lineRule="auto"/>
        <w:rPr>
          <w:rFonts w:ascii="仿宋" w:hAnsi="仿宋" w:eastAsia="仿宋"/>
          <w:sz w:val="36"/>
          <w:szCs w:val="36"/>
          <w:lang w:bidi="ar"/>
        </w:rPr>
      </w:pPr>
      <w:bookmarkStart w:id="24" w:name="_Toc70450310"/>
      <w:r>
        <w:rPr>
          <w:rFonts w:hint="eastAsia" w:ascii="仿宋" w:hAnsi="仿宋" w:eastAsia="仿宋"/>
          <w:sz w:val="36"/>
          <w:szCs w:val="36"/>
          <w:lang w:bidi="ar"/>
        </w:rPr>
        <w:t>四、资产管理情况</w:t>
      </w:r>
      <w:bookmarkEnd w:id="24"/>
    </w:p>
    <w:p>
      <w:pPr>
        <w:pStyle w:val="5"/>
        <w:spacing w:line="360" w:lineRule="auto"/>
        <w:rPr>
          <w:rStyle w:val="16"/>
          <w:rFonts w:ascii="仿宋" w:hAnsi="仿宋" w:eastAsia="仿宋"/>
          <w:b/>
          <w:bCs/>
        </w:rPr>
      </w:pPr>
      <w:bookmarkStart w:id="25" w:name="_Toc70450311"/>
      <w:r>
        <w:rPr>
          <w:rStyle w:val="16"/>
          <w:rFonts w:hint="eastAsia" w:ascii="仿宋" w:hAnsi="仿宋" w:eastAsia="仿宋"/>
          <w:b/>
          <w:bCs/>
        </w:rPr>
        <w:t>（一）资产配置情况</w:t>
      </w:r>
      <w:bookmarkEnd w:id="25"/>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宋体" w:eastAsia="仿宋_GB2312"/>
          <w:b w:val="0"/>
          <w:bCs w:val="0"/>
          <w:spacing w:val="-4"/>
          <w:sz w:val="28"/>
          <w:szCs w:val="28"/>
          <w:highlight w:val="none"/>
        </w:rPr>
        <w:t>202</w:t>
      </w:r>
      <w:r>
        <w:rPr>
          <w:rStyle w:val="16"/>
          <w:rFonts w:hint="eastAsia" w:ascii="仿宋_GB2312" w:hAnsi="宋体" w:eastAsia="仿宋_GB2312"/>
          <w:b w:val="0"/>
          <w:bCs w:val="0"/>
          <w:spacing w:val="-4"/>
          <w:sz w:val="28"/>
          <w:szCs w:val="28"/>
          <w:highlight w:val="none"/>
          <w:lang w:val="en-US" w:eastAsia="zh-CN"/>
        </w:rPr>
        <w:t>1</w:t>
      </w:r>
      <w:r>
        <w:rPr>
          <w:rStyle w:val="16"/>
          <w:rFonts w:hint="eastAsia" w:ascii="仿宋_GB2312" w:hAnsi="宋体" w:eastAsia="仿宋_GB2312"/>
          <w:b w:val="0"/>
          <w:bCs w:val="0"/>
          <w:spacing w:val="-4"/>
          <w:sz w:val="28"/>
          <w:szCs w:val="28"/>
          <w:highlight w:val="none"/>
        </w:rPr>
        <w:t>年我单位资产总额</w:t>
      </w:r>
      <w:r>
        <w:rPr>
          <w:rStyle w:val="16"/>
          <w:rFonts w:hint="eastAsia" w:ascii="仿宋_GB2312" w:hAnsi="宋体" w:eastAsia="仿宋_GB2312"/>
          <w:b w:val="0"/>
          <w:bCs w:val="0"/>
          <w:spacing w:val="-4"/>
          <w:sz w:val="28"/>
          <w:szCs w:val="28"/>
          <w:highlight w:val="none"/>
          <w:lang w:val="en-US" w:eastAsia="zh-CN"/>
        </w:rPr>
        <w:t>174.85</w:t>
      </w:r>
      <w:r>
        <w:rPr>
          <w:rStyle w:val="16"/>
          <w:rFonts w:hint="eastAsia" w:ascii="仿宋_GB2312" w:hAnsi="宋体" w:eastAsia="仿宋_GB2312"/>
          <w:b w:val="0"/>
          <w:bCs w:val="0"/>
          <w:spacing w:val="-4"/>
          <w:sz w:val="28"/>
          <w:szCs w:val="28"/>
          <w:highlight w:val="none"/>
        </w:rPr>
        <w:t>万元，其中流动资产</w:t>
      </w:r>
      <w:r>
        <w:rPr>
          <w:rStyle w:val="16"/>
          <w:rFonts w:hint="eastAsia" w:ascii="仿宋_GB2312" w:hAnsi="宋体" w:eastAsia="仿宋_GB2312"/>
          <w:b w:val="0"/>
          <w:bCs w:val="0"/>
          <w:spacing w:val="-4"/>
          <w:sz w:val="28"/>
          <w:szCs w:val="28"/>
          <w:highlight w:val="none"/>
          <w:lang w:val="en-US" w:eastAsia="zh-CN"/>
        </w:rPr>
        <w:t>0</w:t>
      </w:r>
      <w:r>
        <w:rPr>
          <w:rStyle w:val="16"/>
          <w:rFonts w:hint="eastAsia" w:ascii="仿宋_GB2312" w:hAnsi="宋体" w:eastAsia="仿宋_GB2312"/>
          <w:b w:val="0"/>
          <w:bCs w:val="0"/>
          <w:spacing w:val="-4"/>
          <w:sz w:val="28"/>
          <w:szCs w:val="28"/>
          <w:highlight w:val="none"/>
        </w:rPr>
        <w:t>万元（其中），固定资产净值</w:t>
      </w:r>
      <w:r>
        <w:rPr>
          <w:rStyle w:val="16"/>
          <w:rFonts w:hint="eastAsia" w:ascii="仿宋_GB2312" w:hAnsi="宋体" w:eastAsia="仿宋_GB2312"/>
          <w:b w:val="0"/>
          <w:bCs w:val="0"/>
          <w:spacing w:val="-4"/>
          <w:sz w:val="28"/>
          <w:szCs w:val="28"/>
          <w:highlight w:val="none"/>
          <w:lang w:val="en-US" w:eastAsia="zh-CN"/>
        </w:rPr>
        <w:t>19.54</w:t>
      </w:r>
      <w:r>
        <w:rPr>
          <w:rStyle w:val="16"/>
          <w:rFonts w:hint="eastAsia" w:ascii="仿宋_GB2312" w:hAnsi="宋体" w:eastAsia="仿宋_GB2312"/>
          <w:b w:val="0"/>
          <w:bCs w:val="0"/>
          <w:spacing w:val="-4"/>
          <w:sz w:val="28"/>
          <w:szCs w:val="28"/>
          <w:highlight w:val="none"/>
        </w:rPr>
        <w:t>万元（其中：土地、房屋及构筑物</w:t>
      </w:r>
      <w:r>
        <w:rPr>
          <w:rStyle w:val="16"/>
          <w:rFonts w:hint="eastAsia" w:ascii="仿宋_GB2312" w:hAnsi="宋体" w:eastAsia="仿宋_GB2312"/>
          <w:b w:val="0"/>
          <w:bCs w:val="0"/>
          <w:spacing w:val="-4"/>
          <w:sz w:val="28"/>
          <w:szCs w:val="28"/>
          <w:highlight w:val="none"/>
          <w:lang w:val="en-US" w:eastAsia="zh-CN"/>
        </w:rPr>
        <w:t>8.81</w:t>
      </w:r>
      <w:r>
        <w:rPr>
          <w:rStyle w:val="16"/>
          <w:rFonts w:hint="eastAsia" w:ascii="仿宋_GB2312" w:hAnsi="宋体" w:eastAsia="仿宋_GB2312"/>
          <w:b w:val="0"/>
          <w:bCs w:val="0"/>
          <w:spacing w:val="-4"/>
          <w:sz w:val="28"/>
          <w:szCs w:val="28"/>
          <w:highlight w:val="none"/>
        </w:rPr>
        <w:t>万元，占固定资产净值的</w:t>
      </w:r>
      <w:r>
        <w:rPr>
          <w:rStyle w:val="16"/>
          <w:rFonts w:hint="eastAsia" w:ascii="仿宋_GB2312" w:hAnsi="宋体" w:eastAsia="仿宋_GB2312"/>
          <w:b w:val="0"/>
          <w:bCs w:val="0"/>
          <w:spacing w:val="-4"/>
          <w:sz w:val="28"/>
          <w:szCs w:val="28"/>
          <w:highlight w:val="none"/>
          <w:lang w:val="en-US" w:eastAsia="zh-CN"/>
        </w:rPr>
        <w:t>45.01</w:t>
      </w:r>
      <w:r>
        <w:rPr>
          <w:rStyle w:val="16"/>
          <w:rFonts w:hint="eastAsia" w:ascii="仿宋_GB2312" w:hAnsi="宋体" w:eastAsia="仿宋_GB2312"/>
          <w:b w:val="0"/>
          <w:bCs w:val="0"/>
          <w:spacing w:val="-4"/>
          <w:sz w:val="28"/>
          <w:szCs w:val="28"/>
          <w:highlight w:val="none"/>
        </w:rPr>
        <w:t>%；通用设备</w:t>
      </w:r>
      <w:r>
        <w:rPr>
          <w:rStyle w:val="16"/>
          <w:rFonts w:hint="eastAsia" w:ascii="仿宋_GB2312" w:hAnsi="宋体" w:eastAsia="仿宋_GB2312"/>
          <w:b w:val="0"/>
          <w:bCs w:val="0"/>
          <w:spacing w:val="-4"/>
          <w:sz w:val="28"/>
          <w:szCs w:val="28"/>
          <w:highlight w:val="none"/>
          <w:lang w:val="en-US" w:eastAsia="zh-CN"/>
        </w:rPr>
        <w:t>10.73</w:t>
      </w:r>
      <w:r>
        <w:rPr>
          <w:rStyle w:val="16"/>
          <w:rFonts w:hint="eastAsia" w:ascii="仿宋_GB2312" w:hAnsi="宋体" w:eastAsia="仿宋_GB2312"/>
          <w:b w:val="0"/>
          <w:bCs w:val="0"/>
          <w:spacing w:val="-4"/>
          <w:sz w:val="28"/>
          <w:szCs w:val="28"/>
          <w:highlight w:val="none"/>
        </w:rPr>
        <w:t>万元，占固定资产净值的</w:t>
      </w:r>
      <w:r>
        <w:rPr>
          <w:rStyle w:val="16"/>
          <w:rFonts w:hint="eastAsia" w:ascii="仿宋_GB2312" w:hAnsi="宋体" w:eastAsia="仿宋_GB2312"/>
          <w:b w:val="0"/>
          <w:bCs w:val="0"/>
          <w:spacing w:val="-4"/>
          <w:sz w:val="28"/>
          <w:szCs w:val="28"/>
          <w:highlight w:val="none"/>
          <w:lang w:val="en-US" w:eastAsia="zh-CN"/>
        </w:rPr>
        <w:t>54.99</w:t>
      </w:r>
      <w:r>
        <w:rPr>
          <w:rStyle w:val="16"/>
          <w:rFonts w:hint="eastAsia" w:ascii="仿宋_GB2312" w:hAnsi="宋体" w:eastAsia="仿宋_GB2312"/>
          <w:b w:val="0"/>
          <w:bCs w:val="0"/>
          <w:spacing w:val="-4"/>
          <w:sz w:val="28"/>
          <w:szCs w:val="28"/>
          <w:highlight w:val="none"/>
        </w:rPr>
        <w:t>%；专用设备</w:t>
      </w:r>
      <w:r>
        <w:rPr>
          <w:rStyle w:val="16"/>
          <w:rFonts w:hint="eastAsia" w:ascii="仿宋_GB2312" w:hAnsi="宋体" w:eastAsia="仿宋_GB2312"/>
          <w:b w:val="0"/>
          <w:bCs w:val="0"/>
          <w:spacing w:val="-4"/>
          <w:sz w:val="28"/>
          <w:szCs w:val="28"/>
          <w:highlight w:val="none"/>
          <w:lang w:val="en-US" w:eastAsia="zh-CN"/>
        </w:rPr>
        <w:t>0</w:t>
      </w:r>
      <w:r>
        <w:rPr>
          <w:rStyle w:val="16"/>
          <w:rFonts w:hint="eastAsia" w:ascii="仿宋_GB2312" w:hAnsi="宋体" w:eastAsia="仿宋_GB2312"/>
          <w:b w:val="0"/>
          <w:bCs w:val="0"/>
          <w:spacing w:val="-4"/>
          <w:sz w:val="28"/>
          <w:szCs w:val="28"/>
          <w:highlight w:val="none"/>
        </w:rPr>
        <w:t>万元，占固定资产净值的</w:t>
      </w:r>
      <w:r>
        <w:rPr>
          <w:rStyle w:val="16"/>
          <w:rFonts w:hint="eastAsia" w:ascii="仿宋_GB2312" w:hAnsi="宋体" w:eastAsia="仿宋_GB2312"/>
          <w:b w:val="0"/>
          <w:bCs w:val="0"/>
          <w:spacing w:val="-4"/>
          <w:sz w:val="28"/>
          <w:szCs w:val="28"/>
          <w:highlight w:val="none"/>
          <w:lang w:val="en-US" w:eastAsia="zh-CN"/>
        </w:rPr>
        <w:t>0</w:t>
      </w:r>
      <w:r>
        <w:rPr>
          <w:rStyle w:val="16"/>
          <w:rFonts w:hint="eastAsia" w:ascii="仿宋_GB2312" w:hAnsi="宋体" w:eastAsia="仿宋_GB2312"/>
          <w:b w:val="0"/>
          <w:bCs w:val="0"/>
          <w:spacing w:val="-4"/>
          <w:sz w:val="28"/>
          <w:szCs w:val="28"/>
          <w:highlight w:val="none"/>
        </w:rPr>
        <w:t>%；其他）。</w:t>
      </w:r>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宋体" w:eastAsia="仿宋_GB2312"/>
          <w:b w:val="0"/>
          <w:bCs w:val="0"/>
          <w:spacing w:val="-4"/>
          <w:sz w:val="28"/>
          <w:szCs w:val="28"/>
          <w:highlight w:val="none"/>
        </w:rPr>
        <w:t>本年度流动资产</w:t>
      </w:r>
      <w:r>
        <w:rPr>
          <w:rStyle w:val="16"/>
          <w:rFonts w:hint="eastAsia" w:ascii="仿宋_GB2312" w:hAnsi="宋体" w:eastAsia="仿宋_GB2312"/>
          <w:b w:val="0"/>
          <w:bCs w:val="0"/>
          <w:spacing w:val="-4"/>
          <w:sz w:val="28"/>
          <w:szCs w:val="28"/>
          <w:highlight w:val="none"/>
          <w:lang w:val="en-US" w:eastAsia="zh-CN"/>
        </w:rPr>
        <w:t>0</w:t>
      </w:r>
      <w:r>
        <w:rPr>
          <w:rStyle w:val="16"/>
          <w:rFonts w:hint="eastAsia" w:ascii="仿宋_GB2312" w:hAnsi="宋体" w:eastAsia="仿宋_GB2312"/>
          <w:b w:val="0"/>
          <w:bCs w:val="0"/>
          <w:spacing w:val="-4"/>
          <w:sz w:val="28"/>
          <w:szCs w:val="28"/>
          <w:highlight w:val="none"/>
        </w:rPr>
        <w:t>万元，比上年增加</w:t>
      </w:r>
      <w:r>
        <w:rPr>
          <w:rStyle w:val="16"/>
          <w:rFonts w:hint="eastAsia" w:ascii="仿宋_GB2312" w:hAnsi="宋体" w:eastAsia="仿宋_GB2312"/>
          <w:b w:val="0"/>
          <w:bCs w:val="0"/>
          <w:spacing w:val="-4"/>
          <w:sz w:val="28"/>
          <w:szCs w:val="28"/>
          <w:highlight w:val="none"/>
          <w:lang w:val="en-US" w:eastAsia="zh-CN"/>
        </w:rPr>
        <w:t>0</w:t>
      </w:r>
      <w:r>
        <w:rPr>
          <w:rStyle w:val="16"/>
          <w:rFonts w:hint="eastAsia" w:ascii="仿宋_GB2312" w:hAnsi="宋体" w:eastAsia="仿宋_GB2312"/>
          <w:b w:val="0"/>
          <w:bCs w:val="0"/>
          <w:spacing w:val="-4"/>
          <w:sz w:val="28"/>
          <w:szCs w:val="28"/>
          <w:highlight w:val="none"/>
        </w:rPr>
        <w:t>万元，原因是：</w:t>
      </w:r>
      <w:r>
        <w:rPr>
          <w:rStyle w:val="16"/>
          <w:rFonts w:hint="eastAsia" w:ascii="仿宋_GB2312" w:hAnsi="宋体" w:eastAsia="仿宋_GB2312"/>
          <w:b w:val="0"/>
          <w:bCs w:val="0"/>
          <w:spacing w:val="-4"/>
          <w:sz w:val="28"/>
          <w:szCs w:val="28"/>
          <w:highlight w:val="none"/>
          <w:lang w:val="en-US" w:eastAsia="zh-CN"/>
        </w:rPr>
        <w:t>无变动</w:t>
      </w:r>
      <w:r>
        <w:rPr>
          <w:rStyle w:val="16"/>
          <w:rFonts w:hint="eastAsia" w:ascii="仿宋_GB2312" w:hAnsi="宋体" w:eastAsia="仿宋_GB2312"/>
          <w:b w:val="0"/>
          <w:bCs w:val="0"/>
          <w:spacing w:val="-4"/>
          <w:sz w:val="28"/>
          <w:szCs w:val="28"/>
          <w:highlight w:val="none"/>
        </w:rPr>
        <w:t>。</w:t>
      </w:r>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宋体" w:eastAsia="仿宋_GB2312"/>
          <w:b w:val="0"/>
          <w:bCs w:val="0"/>
          <w:spacing w:val="-4"/>
          <w:sz w:val="28"/>
          <w:szCs w:val="28"/>
          <w:highlight w:val="none"/>
        </w:rPr>
        <w:t>本年度固定资产</w:t>
      </w:r>
      <w:r>
        <w:rPr>
          <w:rStyle w:val="16"/>
          <w:rFonts w:hint="eastAsia" w:ascii="仿宋_GB2312" w:hAnsi="宋体" w:eastAsia="仿宋_GB2312"/>
          <w:b w:val="0"/>
          <w:bCs w:val="0"/>
          <w:spacing w:val="-4"/>
          <w:sz w:val="28"/>
          <w:szCs w:val="28"/>
          <w:highlight w:val="none"/>
          <w:lang w:val="en-US" w:eastAsia="zh-CN"/>
        </w:rPr>
        <w:t>174.85</w:t>
      </w:r>
      <w:r>
        <w:rPr>
          <w:rStyle w:val="16"/>
          <w:rFonts w:hint="eastAsia" w:ascii="仿宋_GB2312" w:hAnsi="宋体" w:eastAsia="仿宋_GB2312"/>
          <w:b w:val="0"/>
          <w:bCs w:val="0"/>
          <w:spacing w:val="-4"/>
          <w:sz w:val="28"/>
          <w:szCs w:val="28"/>
          <w:highlight w:val="none"/>
        </w:rPr>
        <w:t>万元，比上年增加</w:t>
      </w:r>
      <w:r>
        <w:rPr>
          <w:rStyle w:val="16"/>
          <w:rFonts w:hint="eastAsia" w:ascii="仿宋_GB2312" w:hAnsi="宋体" w:eastAsia="仿宋_GB2312"/>
          <w:b w:val="0"/>
          <w:bCs w:val="0"/>
          <w:spacing w:val="-4"/>
          <w:sz w:val="28"/>
          <w:szCs w:val="28"/>
          <w:highlight w:val="none"/>
          <w:lang w:val="en-US" w:eastAsia="zh-CN"/>
        </w:rPr>
        <w:t>0</w:t>
      </w:r>
      <w:r>
        <w:rPr>
          <w:rStyle w:val="16"/>
          <w:rFonts w:hint="eastAsia" w:ascii="仿宋_GB2312" w:hAnsi="宋体" w:eastAsia="仿宋_GB2312"/>
          <w:b w:val="0"/>
          <w:bCs w:val="0"/>
          <w:spacing w:val="-4"/>
          <w:sz w:val="28"/>
          <w:szCs w:val="28"/>
          <w:highlight w:val="none"/>
        </w:rPr>
        <w:t>万元，原因是：</w:t>
      </w:r>
      <w:r>
        <w:rPr>
          <w:rStyle w:val="16"/>
          <w:rFonts w:hint="eastAsia" w:ascii="仿宋_GB2312" w:hAnsi="宋体" w:eastAsia="仿宋_GB2312"/>
          <w:b w:val="0"/>
          <w:bCs w:val="0"/>
          <w:spacing w:val="-4"/>
          <w:sz w:val="28"/>
          <w:szCs w:val="28"/>
          <w:highlight w:val="none"/>
          <w:lang w:val="en-US" w:eastAsia="zh-CN"/>
        </w:rPr>
        <w:t>无变动</w:t>
      </w:r>
      <w:r>
        <w:rPr>
          <w:rStyle w:val="16"/>
          <w:rFonts w:hint="eastAsia" w:ascii="仿宋_GB2312" w:hAnsi="宋体" w:eastAsia="仿宋_GB2312"/>
          <w:b w:val="0"/>
          <w:bCs w:val="0"/>
          <w:spacing w:val="-4"/>
          <w:sz w:val="28"/>
          <w:szCs w:val="28"/>
          <w:highlight w:val="none"/>
        </w:rPr>
        <w:t>。</w:t>
      </w:r>
    </w:p>
    <w:p>
      <w:pPr>
        <w:snapToGrid w:val="0"/>
        <w:spacing w:line="360" w:lineRule="auto"/>
        <w:ind w:firstLine="544" w:firstLineChars="200"/>
        <w:rPr>
          <w:rStyle w:val="16"/>
          <w:rFonts w:ascii="宋体" w:hAnsi="宋体" w:eastAsia="宋体"/>
          <w:bCs w:val="0"/>
          <w:color w:val="FF0000"/>
          <w:spacing w:val="-4"/>
          <w:sz w:val="28"/>
          <w:szCs w:val="28"/>
          <w:highlight w:val="none"/>
        </w:rPr>
      </w:pPr>
      <w:r>
        <w:rPr>
          <w:rStyle w:val="16"/>
          <w:rFonts w:hint="eastAsia" w:ascii="仿宋_GB2312" w:hAnsi="宋体" w:eastAsia="仿宋_GB2312"/>
          <w:b w:val="0"/>
          <w:bCs w:val="0"/>
          <w:spacing w:val="-4"/>
          <w:sz w:val="28"/>
          <w:szCs w:val="28"/>
          <w:highlight w:val="none"/>
        </w:rPr>
        <w:t>实际在用固定资产</w:t>
      </w:r>
      <w:r>
        <w:rPr>
          <w:rStyle w:val="16"/>
          <w:rFonts w:hint="eastAsia" w:ascii="仿宋_GB2312" w:hAnsi="宋体" w:eastAsia="仿宋_GB2312"/>
          <w:b w:val="0"/>
          <w:bCs w:val="0"/>
          <w:spacing w:val="-4"/>
          <w:sz w:val="28"/>
          <w:szCs w:val="28"/>
          <w:highlight w:val="none"/>
          <w:lang w:val="en-US" w:eastAsia="zh-CN"/>
        </w:rPr>
        <w:t>174.85</w:t>
      </w:r>
      <w:r>
        <w:rPr>
          <w:rStyle w:val="16"/>
          <w:rFonts w:hint="eastAsia" w:ascii="仿宋_GB2312" w:hAnsi="宋体" w:eastAsia="仿宋_GB2312"/>
          <w:b w:val="0"/>
          <w:bCs w:val="0"/>
          <w:spacing w:val="-4"/>
          <w:sz w:val="28"/>
          <w:szCs w:val="28"/>
          <w:highlight w:val="none"/>
        </w:rPr>
        <w:t>万元，固定资产利用率</w:t>
      </w:r>
      <w:r>
        <w:rPr>
          <w:rStyle w:val="16"/>
          <w:rFonts w:hint="eastAsia" w:ascii="仿宋_GB2312" w:hAnsi="宋体" w:eastAsia="仿宋_GB2312"/>
          <w:b w:val="0"/>
          <w:bCs w:val="0"/>
          <w:spacing w:val="-4"/>
          <w:sz w:val="28"/>
          <w:szCs w:val="28"/>
          <w:highlight w:val="none"/>
          <w:lang w:val="en-US" w:eastAsia="zh-CN"/>
        </w:rPr>
        <w:t>100</w:t>
      </w:r>
      <w:r>
        <w:rPr>
          <w:rStyle w:val="16"/>
          <w:rFonts w:hint="eastAsia" w:ascii="仿宋_GB2312" w:hAnsi="宋体" w:eastAsia="仿宋_GB2312"/>
          <w:b w:val="0"/>
          <w:bCs w:val="0"/>
          <w:spacing w:val="-4"/>
          <w:sz w:val="28"/>
          <w:szCs w:val="28"/>
          <w:highlight w:val="none"/>
        </w:rPr>
        <w:t>%。</w:t>
      </w:r>
    </w:p>
    <w:p>
      <w:pPr>
        <w:pStyle w:val="5"/>
        <w:spacing w:line="360" w:lineRule="auto"/>
        <w:rPr>
          <w:rStyle w:val="16"/>
          <w:rFonts w:ascii="仿宋" w:hAnsi="仿宋" w:eastAsia="仿宋"/>
          <w:b/>
          <w:bCs/>
        </w:rPr>
      </w:pPr>
      <w:bookmarkStart w:id="26" w:name="_Toc70450312"/>
      <w:r>
        <w:rPr>
          <w:rStyle w:val="16"/>
          <w:rFonts w:hint="eastAsia" w:ascii="仿宋" w:hAnsi="仿宋" w:eastAsia="仿宋"/>
          <w:b/>
          <w:bCs/>
        </w:rPr>
        <w:t>（二）资产管理情况</w:t>
      </w:r>
      <w:bookmarkEnd w:id="26"/>
    </w:p>
    <w:p>
      <w:pPr>
        <w:spacing w:line="360" w:lineRule="auto"/>
        <w:ind w:firstLine="544" w:firstLineChars="200"/>
        <w:rPr>
          <w:rStyle w:val="16"/>
          <w:rFonts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360" w:lineRule="auto"/>
        <w:ind w:firstLine="544" w:firstLineChars="200"/>
        <w:rPr>
          <w:rStyle w:val="16"/>
          <w:rFonts w:hint="eastAsia"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snapToGrid w:val="0"/>
        <w:spacing w:line="360" w:lineRule="auto"/>
        <w:ind w:firstLine="544" w:firstLineChars="200"/>
        <w:rPr>
          <w:rStyle w:val="16"/>
          <w:rFonts w:ascii="仿宋_GB2312" w:hAnsi="宋体" w:eastAsia="仿宋_GB2312"/>
          <w:b w:val="0"/>
          <w:spacing w:val="-4"/>
          <w:sz w:val="28"/>
          <w:szCs w:val="28"/>
        </w:rPr>
      </w:pPr>
    </w:p>
    <w:p>
      <w:pPr>
        <w:pStyle w:val="4"/>
        <w:spacing w:line="360" w:lineRule="auto"/>
        <w:rPr>
          <w:rFonts w:ascii="仿宋" w:hAnsi="仿宋" w:eastAsia="仿宋"/>
          <w:sz w:val="36"/>
          <w:szCs w:val="36"/>
          <w:lang w:bidi="ar"/>
        </w:rPr>
      </w:pPr>
      <w:bookmarkStart w:id="27" w:name="_Toc70450313"/>
      <w:r>
        <w:rPr>
          <w:rFonts w:hint="eastAsia" w:ascii="仿宋" w:hAnsi="仿宋" w:eastAsia="仿宋"/>
          <w:sz w:val="36"/>
          <w:szCs w:val="36"/>
          <w:lang w:bidi="ar"/>
        </w:rPr>
        <w:t>五、部门单位整体支出绩效情况</w:t>
      </w:r>
      <w:bookmarkEnd w:id="27"/>
    </w:p>
    <w:p>
      <w:pPr>
        <w:pStyle w:val="5"/>
        <w:spacing w:line="360" w:lineRule="auto"/>
        <w:ind w:firstLine="643" w:firstLineChars="200"/>
        <w:rPr>
          <w:rStyle w:val="16"/>
          <w:rFonts w:ascii="仿宋" w:hAnsi="仿宋" w:eastAsia="仿宋"/>
          <w:b/>
          <w:bCs/>
        </w:rPr>
      </w:pPr>
      <w:bookmarkStart w:id="28" w:name="_Toc70450314"/>
      <w:r>
        <w:rPr>
          <w:rStyle w:val="16"/>
          <w:rFonts w:hint="eastAsia" w:ascii="仿宋" w:hAnsi="仿宋" w:eastAsia="仿宋"/>
          <w:b/>
          <w:bCs/>
        </w:rPr>
        <w:t>（一）经济效益评价</w:t>
      </w:r>
      <w:bookmarkEnd w:id="28"/>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w:t>
      </w:r>
      <w:r>
        <w:rPr>
          <w:rStyle w:val="16"/>
          <w:rFonts w:hint="eastAsia" w:ascii="仿宋_GB2312" w:hAnsi="宋体" w:eastAsia="仿宋_GB2312"/>
          <w:b w:val="0"/>
          <w:bCs w:val="0"/>
          <w:spacing w:val="-4"/>
          <w:sz w:val="28"/>
          <w:szCs w:val="28"/>
          <w:lang w:val="en-US" w:eastAsia="zh-CN"/>
        </w:rPr>
        <w:t>1</w:t>
      </w:r>
      <w:r>
        <w:rPr>
          <w:rStyle w:val="16"/>
          <w:rFonts w:hint="eastAsia" w:ascii="仿宋_GB2312" w:hAnsi="宋体" w:eastAsia="仿宋_GB2312"/>
          <w:b w:val="0"/>
          <w:bCs w:val="0"/>
          <w:spacing w:val="-4"/>
          <w:sz w:val="28"/>
          <w:szCs w:val="28"/>
        </w:rPr>
        <w:t>年度我单位年初预算安排</w:t>
      </w:r>
      <w:r>
        <w:rPr>
          <w:rStyle w:val="16"/>
          <w:rFonts w:hint="eastAsia" w:ascii="仿宋_GB2312" w:hAnsi="宋体" w:eastAsia="仿宋_GB2312"/>
          <w:b w:val="0"/>
          <w:bCs w:val="0"/>
          <w:spacing w:val="-4"/>
          <w:sz w:val="28"/>
          <w:szCs w:val="28"/>
          <w:lang w:val="en-US" w:eastAsia="zh-CN"/>
        </w:rPr>
        <w:t>96.10</w:t>
      </w:r>
      <w:r>
        <w:rPr>
          <w:rStyle w:val="16"/>
          <w:rFonts w:hint="eastAsia" w:ascii="仿宋_GB2312" w:hAnsi="宋体" w:eastAsia="仿宋_GB2312"/>
          <w:b w:val="0"/>
          <w:bCs w:val="0"/>
          <w:spacing w:val="-4"/>
          <w:sz w:val="28"/>
          <w:szCs w:val="28"/>
        </w:rPr>
        <w:t>万元，年中调整</w:t>
      </w:r>
      <w:r>
        <w:rPr>
          <w:rStyle w:val="16"/>
          <w:rFonts w:hint="eastAsia" w:ascii="仿宋_GB2312" w:hAnsi="宋体" w:eastAsia="仿宋_GB2312"/>
          <w:b w:val="0"/>
          <w:bCs w:val="0"/>
          <w:spacing w:val="-4"/>
          <w:sz w:val="28"/>
          <w:szCs w:val="28"/>
          <w:lang w:val="en-US" w:eastAsia="zh-CN"/>
        </w:rPr>
        <w:t>175.13</w:t>
      </w:r>
      <w:r>
        <w:rPr>
          <w:rStyle w:val="16"/>
          <w:rFonts w:hint="eastAsia" w:ascii="仿宋_GB2312" w:hAnsi="宋体" w:eastAsia="仿宋_GB2312"/>
          <w:b w:val="0"/>
          <w:bCs w:val="0"/>
          <w:spacing w:val="-4"/>
          <w:sz w:val="28"/>
          <w:szCs w:val="28"/>
        </w:rPr>
        <w:t>万元，截止12月底支出</w:t>
      </w:r>
      <w:r>
        <w:rPr>
          <w:rStyle w:val="16"/>
          <w:rFonts w:hint="eastAsia" w:ascii="仿宋_GB2312" w:hAnsi="宋体" w:eastAsia="仿宋_GB2312"/>
          <w:b w:val="0"/>
          <w:bCs w:val="0"/>
          <w:spacing w:val="-4"/>
          <w:sz w:val="28"/>
          <w:szCs w:val="28"/>
          <w:lang w:val="en-US" w:eastAsia="zh-CN"/>
        </w:rPr>
        <w:t>271.23</w:t>
      </w:r>
      <w:r>
        <w:rPr>
          <w:rStyle w:val="16"/>
          <w:rFonts w:hint="eastAsia" w:ascii="仿宋_GB2312" w:hAnsi="宋体" w:eastAsia="仿宋_GB2312"/>
          <w:b w:val="0"/>
          <w:bCs w:val="0"/>
          <w:spacing w:val="-4"/>
          <w:sz w:val="28"/>
          <w:szCs w:val="28"/>
        </w:rPr>
        <w:t>元，执行率</w:t>
      </w:r>
      <w:r>
        <w:rPr>
          <w:rStyle w:val="16"/>
          <w:rFonts w:hint="eastAsia" w:ascii="仿宋_GB2312" w:hAnsi="宋体" w:eastAsia="仿宋_GB2312"/>
          <w:b w:val="0"/>
          <w:bCs w:val="0"/>
          <w:spacing w:val="-4"/>
          <w:sz w:val="28"/>
          <w:szCs w:val="28"/>
          <w:lang w:val="en-US" w:eastAsia="zh-CN"/>
        </w:rPr>
        <w:t>100</w:t>
      </w:r>
      <w:r>
        <w:rPr>
          <w:rStyle w:val="16"/>
          <w:rFonts w:hint="eastAsia" w:ascii="仿宋_GB2312" w:hAnsi="宋体" w:eastAsia="仿宋_GB2312"/>
          <w:b w:val="0"/>
          <w:bCs w:val="0"/>
          <w:spacing w:val="-4"/>
          <w:sz w:val="28"/>
          <w:szCs w:val="28"/>
        </w:rPr>
        <w:t>%。</w:t>
      </w:r>
    </w:p>
    <w:p>
      <w:pPr>
        <w:spacing w:line="360" w:lineRule="auto"/>
        <w:ind w:firstLine="544" w:firstLineChars="200"/>
        <w:rPr>
          <w:rStyle w:val="16"/>
          <w:rFonts w:ascii="仿宋_GB2312" w:hAnsi="宋体" w:eastAsia="仿宋_GB2312"/>
          <w:b w:val="0"/>
          <w:bCs w:val="0"/>
          <w:spacing w:val="-4"/>
          <w:sz w:val="28"/>
          <w:szCs w:val="28"/>
        </w:rPr>
      </w:pPr>
      <w:r>
        <w:rPr>
          <w:rStyle w:val="16"/>
          <w:rFonts w:ascii="仿宋_GB2312" w:hAnsi="宋体" w:eastAsia="仿宋_GB2312"/>
          <w:b w:val="0"/>
          <w:bCs w:val="0"/>
          <w:spacing w:val="-4"/>
          <w:sz w:val="28"/>
          <w:szCs w:val="28"/>
        </w:rPr>
        <w:t>1</w:t>
      </w:r>
      <w:r>
        <w:rPr>
          <w:rStyle w:val="16"/>
          <w:rFonts w:hint="eastAsia" w:ascii="仿宋_GB2312" w:hAnsi="宋体" w:eastAsia="仿宋_GB2312"/>
          <w:b w:val="0"/>
          <w:bCs w:val="0"/>
          <w:spacing w:val="-4"/>
          <w:sz w:val="28"/>
          <w:szCs w:val="28"/>
        </w:rPr>
        <w:t>、预算资金执行过程中均按照年初预算分配情况均做到专款专用，未出现资金侵、挪占情况。</w:t>
      </w:r>
    </w:p>
    <w:p>
      <w:pPr>
        <w:spacing w:line="360" w:lineRule="auto"/>
        <w:ind w:firstLine="544" w:firstLineChars="200"/>
        <w:rPr>
          <w:rStyle w:val="16"/>
          <w:rFonts w:ascii="仿宋_GB2312" w:hAnsi="宋体" w:eastAsia="仿宋_GB2312"/>
          <w:b w:val="0"/>
          <w:bCs w:val="0"/>
          <w:spacing w:val="-4"/>
          <w:sz w:val="28"/>
          <w:szCs w:val="28"/>
        </w:rPr>
      </w:pPr>
      <w:r>
        <w:rPr>
          <w:rStyle w:val="16"/>
          <w:rFonts w:ascii="仿宋_GB2312" w:hAnsi="宋体" w:eastAsia="仿宋_GB2312"/>
          <w:b w:val="0"/>
          <w:bCs w:val="0"/>
          <w:spacing w:val="-4"/>
          <w:sz w:val="28"/>
          <w:szCs w:val="28"/>
        </w:rPr>
        <w:t>2</w:t>
      </w:r>
      <w:r>
        <w:rPr>
          <w:rStyle w:val="16"/>
          <w:rFonts w:hint="eastAsia" w:ascii="仿宋_GB2312" w:hAnsi="宋体" w:eastAsia="仿宋_GB2312"/>
          <w:b w:val="0"/>
          <w:bCs w:val="0"/>
          <w:spacing w:val="-4"/>
          <w:sz w:val="28"/>
          <w:szCs w:val="28"/>
        </w:rPr>
        <w:t>、全年按照部门预算进行成本控制，全部控制在厉行节约指标数内。其他支出按财政部门下达的计划实施，全年没有项目超支（若有超支请详细说明情况）。</w:t>
      </w:r>
    </w:p>
    <w:p>
      <w:pPr>
        <w:pStyle w:val="5"/>
        <w:spacing w:line="360" w:lineRule="auto"/>
        <w:ind w:firstLine="643" w:firstLineChars="200"/>
        <w:rPr>
          <w:rStyle w:val="16"/>
          <w:rFonts w:ascii="仿宋" w:hAnsi="仿宋" w:eastAsia="仿宋"/>
          <w:b/>
          <w:bCs/>
        </w:rPr>
      </w:pPr>
      <w:bookmarkStart w:id="29" w:name="_Toc70450315"/>
      <w:r>
        <w:rPr>
          <w:rStyle w:val="16"/>
          <w:rFonts w:hint="eastAsia" w:ascii="仿宋" w:hAnsi="仿宋" w:eastAsia="仿宋"/>
          <w:b/>
          <w:bCs/>
        </w:rPr>
        <w:t>（二）效率性评价</w:t>
      </w:r>
      <w:bookmarkEnd w:id="29"/>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w:t>
      </w:r>
      <w:r>
        <w:rPr>
          <w:rStyle w:val="16"/>
          <w:rFonts w:hint="eastAsia" w:ascii="仿宋_GB2312" w:hAnsi="宋体" w:eastAsia="仿宋_GB2312"/>
          <w:b w:val="0"/>
          <w:bCs w:val="0"/>
          <w:spacing w:val="-4"/>
          <w:sz w:val="28"/>
          <w:szCs w:val="28"/>
          <w:lang w:val="en-US" w:eastAsia="zh-CN"/>
        </w:rPr>
        <w:t>1</w:t>
      </w:r>
      <w:r>
        <w:rPr>
          <w:rStyle w:val="16"/>
          <w:rFonts w:hint="eastAsia" w:ascii="仿宋_GB2312" w:hAnsi="宋体" w:eastAsia="仿宋_GB2312"/>
          <w:b w:val="0"/>
          <w:bCs w:val="0"/>
          <w:spacing w:val="-4"/>
          <w:sz w:val="28"/>
          <w:szCs w:val="28"/>
        </w:rPr>
        <w:t>年，在</w:t>
      </w:r>
      <w:r>
        <w:rPr>
          <w:rStyle w:val="16"/>
          <w:rFonts w:hint="eastAsia" w:ascii="仿宋_GB2312" w:hAnsi="宋体" w:eastAsia="仿宋_GB2312"/>
          <w:b w:val="0"/>
          <w:bCs w:val="0"/>
          <w:spacing w:val="-4"/>
          <w:sz w:val="28"/>
          <w:szCs w:val="28"/>
          <w:lang w:val="en-US" w:eastAsia="zh-CN"/>
        </w:rPr>
        <w:t>特克斯县政府</w:t>
      </w:r>
      <w:r>
        <w:rPr>
          <w:rStyle w:val="16"/>
          <w:rFonts w:hint="eastAsia" w:ascii="仿宋_GB2312" w:hAnsi="宋体" w:eastAsia="仿宋_GB2312"/>
          <w:b w:val="0"/>
          <w:bCs w:val="0"/>
          <w:spacing w:val="-4"/>
          <w:sz w:val="28"/>
          <w:szCs w:val="28"/>
        </w:rPr>
        <w:t>的大力支持和</w:t>
      </w:r>
      <w:r>
        <w:rPr>
          <w:rStyle w:val="16"/>
          <w:rFonts w:hint="eastAsia" w:ascii="仿宋_GB2312" w:hAnsi="宋体" w:eastAsia="仿宋_GB2312"/>
          <w:b w:val="0"/>
          <w:bCs w:val="0"/>
          <w:spacing w:val="-4"/>
          <w:sz w:val="28"/>
          <w:szCs w:val="28"/>
          <w:lang w:val="en-US" w:eastAsia="zh-CN"/>
        </w:rPr>
        <w:t>特克斯县委</w:t>
      </w:r>
      <w:r>
        <w:rPr>
          <w:rStyle w:val="16"/>
          <w:rFonts w:hint="eastAsia" w:ascii="仿宋_GB2312" w:hAnsi="宋体" w:eastAsia="仿宋_GB2312"/>
          <w:b w:val="0"/>
          <w:bCs w:val="0"/>
          <w:spacing w:val="-4"/>
          <w:sz w:val="28"/>
          <w:szCs w:val="28"/>
        </w:rPr>
        <w:t>的正确领导下，我</w:t>
      </w:r>
      <w:r>
        <w:rPr>
          <w:rStyle w:val="16"/>
          <w:rFonts w:hint="eastAsia" w:ascii="仿宋_GB2312" w:hAnsi="宋体" w:eastAsia="仿宋_GB2312"/>
          <w:b w:val="0"/>
          <w:bCs w:val="0"/>
          <w:spacing w:val="-4"/>
          <w:sz w:val="28"/>
          <w:szCs w:val="28"/>
          <w:lang w:val="en-US" w:eastAsia="zh-CN"/>
        </w:rPr>
        <w:t>单位</w:t>
      </w:r>
      <w:r>
        <w:rPr>
          <w:rStyle w:val="16"/>
          <w:rFonts w:hint="eastAsia" w:ascii="仿宋_GB2312" w:hAnsi="宋体" w:eastAsia="仿宋_GB2312"/>
          <w:b w:val="0"/>
          <w:bCs w:val="0"/>
          <w:spacing w:val="-4"/>
          <w:sz w:val="28"/>
          <w:szCs w:val="28"/>
        </w:rPr>
        <w:t>迎难而上、务实重干，积极推动各项</w:t>
      </w:r>
      <w:r>
        <w:rPr>
          <w:rStyle w:val="16"/>
          <w:rFonts w:hint="eastAsia" w:ascii="仿宋_GB2312" w:hAnsi="楷体" w:eastAsia="仿宋_GB2312"/>
          <w:b w:val="0"/>
          <w:spacing w:val="-4"/>
          <w:sz w:val="28"/>
          <w:szCs w:val="28"/>
          <w:lang w:val="en-US" w:eastAsia="zh-CN"/>
        </w:rPr>
        <w:t>2021年残疾人事业发展补助</w:t>
      </w:r>
      <w:r>
        <w:rPr>
          <w:rStyle w:val="16"/>
          <w:rFonts w:hint="eastAsia" w:ascii="仿宋_GB2312" w:hAnsi="楷体" w:eastAsia="仿宋_GB2312"/>
          <w:b w:val="0"/>
          <w:spacing w:val="-4"/>
          <w:sz w:val="28"/>
          <w:szCs w:val="28"/>
        </w:rPr>
        <w:t>项目</w:t>
      </w:r>
      <w:r>
        <w:rPr>
          <w:rStyle w:val="16"/>
          <w:rFonts w:hint="eastAsia" w:ascii="仿宋_GB2312" w:hAnsi="宋体" w:eastAsia="仿宋_GB2312"/>
          <w:b w:val="0"/>
          <w:bCs w:val="0"/>
          <w:spacing w:val="-4"/>
          <w:sz w:val="28"/>
          <w:szCs w:val="28"/>
        </w:rPr>
        <w:t>工作取得了新的进展，为促进经济持续健康发展与社会和谐稳定提供了有力的支撑和保障。</w:t>
      </w:r>
    </w:p>
    <w:p>
      <w:pPr>
        <w:numPr>
          <w:ilvl w:val="0"/>
          <w:numId w:val="2"/>
        </w:numPr>
        <w:spacing w:line="360" w:lineRule="auto"/>
        <w:ind w:firstLine="544" w:firstLineChars="200"/>
        <w:rPr>
          <w:rStyle w:val="16"/>
          <w:rFonts w:hint="eastAsia" w:ascii="仿宋_GB2312" w:hAnsi="宋体" w:eastAsia="仿宋_GB2312"/>
          <w:b w:val="0"/>
          <w:bCs w:val="0"/>
          <w:spacing w:val="-4"/>
          <w:sz w:val="28"/>
          <w:szCs w:val="28"/>
          <w:highlight w:val="none"/>
        </w:rPr>
      </w:pPr>
      <w:r>
        <w:rPr>
          <w:rStyle w:val="16"/>
          <w:rFonts w:hint="eastAsia" w:ascii="仿宋_GB2312" w:hAnsi="宋体" w:eastAsia="仿宋_GB2312"/>
          <w:b w:val="0"/>
          <w:bCs w:val="0"/>
          <w:spacing w:val="-4"/>
          <w:sz w:val="28"/>
          <w:szCs w:val="28"/>
          <w:highlight w:val="none"/>
        </w:rPr>
        <w:t>圆满完成</w:t>
      </w:r>
      <w:r>
        <w:rPr>
          <w:rStyle w:val="16"/>
          <w:rFonts w:hint="eastAsia" w:ascii="仿宋_GB2312" w:hAnsi="楷体" w:eastAsia="仿宋_GB2312"/>
          <w:b w:val="0"/>
          <w:spacing w:val="-4"/>
          <w:sz w:val="28"/>
          <w:szCs w:val="28"/>
          <w:highlight w:val="none"/>
          <w:lang w:val="en-US" w:eastAsia="zh-CN"/>
        </w:rPr>
        <w:t>2021年残疾人事业发展补助</w:t>
      </w:r>
      <w:r>
        <w:rPr>
          <w:rStyle w:val="16"/>
          <w:rFonts w:hint="eastAsia" w:ascii="仿宋_GB2312" w:hAnsi="楷体" w:eastAsia="仿宋_GB2312"/>
          <w:b w:val="0"/>
          <w:spacing w:val="-4"/>
          <w:sz w:val="28"/>
          <w:szCs w:val="28"/>
          <w:highlight w:val="none"/>
        </w:rPr>
        <w:t>项目</w:t>
      </w:r>
      <w:r>
        <w:rPr>
          <w:rStyle w:val="16"/>
          <w:rFonts w:hint="eastAsia" w:ascii="仿宋_GB2312" w:hAnsi="宋体" w:eastAsia="仿宋_GB2312"/>
          <w:b w:val="0"/>
          <w:bCs w:val="0"/>
          <w:spacing w:val="-4"/>
          <w:sz w:val="28"/>
          <w:szCs w:val="28"/>
          <w:highlight w:val="none"/>
        </w:rPr>
        <w:t>工作</w:t>
      </w:r>
    </w:p>
    <w:p>
      <w:pPr>
        <w:pStyle w:val="2"/>
        <w:keepNext w:val="0"/>
        <w:keepLines w:val="0"/>
        <w:pageBreakBefore w:val="0"/>
        <w:widowControl/>
        <w:numPr>
          <w:ilvl w:val="0"/>
          <w:numId w:val="0"/>
        </w:numPr>
        <w:kinsoku/>
        <w:wordWrap/>
        <w:overflowPunct/>
        <w:topLinePunct w:val="0"/>
        <w:autoSpaceDE/>
        <w:autoSpaceDN/>
        <w:bidi w:val="0"/>
        <w:adjustRightInd/>
        <w:snapToGrid/>
        <w:spacing w:line="360" w:lineRule="auto"/>
        <w:ind w:firstLine="544" w:firstLineChars="200"/>
        <w:textAlignment w:val="auto"/>
        <w:rPr>
          <w:rStyle w:val="16"/>
          <w:rFonts w:hint="eastAsia" w:ascii="仿宋_GB2312" w:hAnsi="宋体" w:eastAsia="仿宋_GB2312" w:cs="Times New Roman"/>
          <w:b w:val="0"/>
          <w:bCs w:val="0"/>
          <w:spacing w:val="-4"/>
          <w:kern w:val="2"/>
          <w:sz w:val="28"/>
          <w:szCs w:val="28"/>
          <w:highlight w:val="none"/>
          <w:lang w:val="en-US" w:eastAsia="zh-CN" w:bidi="ar-SA"/>
        </w:rPr>
      </w:pPr>
      <w:r>
        <w:rPr>
          <w:rStyle w:val="16"/>
          <w:rFonts w:hint="eastAsia" w:ascii="仿宋_GB2312" w:hAnsi="宋体" w:eastAsia="仿宋_GB2312" w:cs="Times New Roman"/>
          <w:b w:val="0"/>
          <w:bCs w:val="0"/>
          <w:spacing w:val="-4"/>
          <w:kern w:val="2"/>
          <w:sz w:val="28"/>
          <w:szCs w:val="28"/>
          <w:highlight w:val="none"/>
          <w:lang w:val="en-US" w:eastAsia="zh-CN" w:bidi="ar-SA"/>
        </w:rPr>
        <w:t>促进残疾人就业，提高残疾人就业质量。一是促进公益性岗位优先安置残疾人就业，确保应届残疾大学毕业生就业率达100%，2021年完成公益性岗位安置残疾人就业30人。二是完成行政、企事业单位按比例安置残疾人就业情况的年度审核工作，未按比例安置残疾人就业的行政、企事业单位，按照规定缴纳残疾人就业保障金。</w:t>
      </w:r>
    </w:p>
    <w:p>
      <w:pPr>
        <w:tabs>
          <w:tab w:val="left" w:pos="312"/>
        </w:tabs>
        <w:spacing w:line="360" w:lineRule="auto"/>
        <w:ind w:firstLine="544" w:firstLineChars="200"/>
        <w:rPr>
          <w:rStyle w:val="16"/>
          <w:rFonts w:hint="eastAsia" w:ascii="仿宋_GB2312" w:hAnsi="宋体" w:eastAsia="仿宋_GB2312"/>
          <w:b w:val="0"/>
          <w:bCs w:val="0"/>
          <w:spacing w:val="-4"/>
          <w:sz w:val="28"/>
          <w:szCs w:val="28"/>
          <w:highlight w:val="none"/>
        </w:rPr>
      </w:pPr>
      <w:r>
        <w:rPr>
          <w:rStyle w:val="16"/>
          <w:rFonts w:ascii="仿宋_GB2312" w:hAnsi="宋体" w:eastAsia="仿宋_GB2312"/>
          <w:b w:val="0"/>
          <w:bCs w:val="0"/>
          <w:spacing w:val="-4"/>
          <w:sz w:val="28"/>
          <w:szCs w:val="28"/>
          <w:highlight w:val="none"/>
        </w:rPr>
        <w:t>2</w:t>
      </w:r>
      <w:r>
        <w:rPr>
          <w:rStyle w:val="16"/>
          <w:rFonts w:hint="eastAsia" w:ascii="仿宋_GB2312" w:hAnsi="宋体" w:eastAsia="仿宋_GB2312"/>
          <w:b w:val="0"/>
          <w:bCs w:val="0"/>
          <w:spacing w:val="-4"/>
          <w:sz w:val="28"/>
          <w:szCs w:val="28"/>
          <w:highlight w:val="none"/>
        </w:rPr>
        <w:t>、</w:t>
      </w:r>
      <w:r>
        <w:rPr>
          <w:rStyle w:val="16"/>
          <w:rFonts w:hint="eastAsia" w:ascii="仿宋_GB2312" w:hAnsi="楷体" w:eastAsia="仿宋_GB2312"/>
          <w:b w:val="0"/>
          <w:spacing w:val="-4"/>
          <w:sz w:val="28"/>
          <w:szCs w:val="28"/>
          <w:highlight w:val="none"/>
          <w:lang w:val="en-US" w:eastAsia="zh-CN"/>
        </w:rPr>
        <w:t>2021年残疾人事业发展补助</w:t>
      </w:r>
      <w:r>
        <w:rPr>
          <w:rStyle w:val="16"/>
          <w:rFonts w:hint="eastAsia" w:ascii="仿宋_GB2312" w:hAnsi="楷体" w:eastAsia="仿宋_GB2312"/>
          <w:b w:val="0"/>
          <w:spacing w:val="-4"/>
          <w:sz w:val="28"/>
          <w:szCs w:val="28"/>
          <w:highlight w:val="none"/>
        </w:rPr>
        <w:t>项目</w:t>
      </w:r>
      <w:r>
        <w:rPr>
          <w:rStyle w:val="16"/>
          <w:rFonts w:hint="eastAsia" w:ascii="仿宋_GB2312" w:hAnsi="宋体" w:eastAsia="仿宋_GB2312"/>
          <w:b w:val="0"/>
          <w:bCs w:val="0"/>
          <w:spacing w:val="-4"/>
          <w:sz w:val="28"/>
          <w:szCs w:val="28"/>
          <w:highlight w:val="none"/>
        </w:rPr>
        <w:t>任务提前完成</w:t>
      </w:r>
    </w:p>
    <w:p>
      <w:pPr>
        <w:pStyle w:val="2"/>
        <w:keepNext w:val="0"/>
        <w:keepLines w:val="0"/>
        <w:pageBreakBefore w:val="0"/>
        <w:widowControl/>
        <w:kinsoku/>
        <w:wordWrap/>
        <w:overflowPunct/>
        <w:topLinePunct w:val="0"/>
        <w:autoSpaceDE/>
        <w:autoSpaceDN/>
        <w:bidi w:val="0"/>
        <w:adjustRightInd/>
        <w:snapToGrid/>
        <w:spacing w:line="360" w:lineRule="auto"/>
        <w:ind w:firstLine="544" w:firstLineChars="200"/>
        <w:textAlignment w:val="auto"/>
        <w:rPr>
          <w:highlight w:val="none"/>
        </w:rPr>
      </w:pPr>
      <w:r>
        <w:rPr>
          <w:rStyle w:val="16"/>
          <w:rFonts w:hint="eastAsia" w:ascii="仿宋_GB2312" w:hAnsi="宋体" w:eastAsia="仿宋_GB2312" w:cs="Times New Roman"/>
          <w:b w:val="0"/>
          <w:bCs w:val="0"/>
          <w:spacing w:val="-4"/>
          <w:kern w:val="2"/>
          <w:sz w:val="28"/>
          <w:szCs w:val="28"/>
          <w:highlight w:val="none"/>
          <w:lang w:val="en-US" w:eastAsia="zh-CN" w:bidi="ar-SA"/>
        </w:rPr>
        <w:t>开展农村实用技术培训工作，预计培训贫困残疾人100人，帮助农村贫困残疾人提高生产增收技能。补贴经费5万元；为30名残疾人开设青壮年扫盲培训班，补贴经费3万元。合计补贴资金：7万元。</w:t>
      </w:r>
    </w:p>
    <w:p>
      <w:pPr>
        <w:spacing w:line="360" w:lineRule="auto"/>
        <w:ind w:firstLine="544" w:firstLineChars="200"/>
        <w:rPr>
          <w:rStyle w:val="16"/>
          <w:rFonts w:hint="eastAsia" w:ascii="仿宋_GB2312" w:hAnsi="宋体" w:eastAsia="仿宋_GB2312"/>
          <w:b w:val="0"/>
          <w:bCs w:val="0"/>
          <w:spacing w:val="-4"/>
          <w:sz w:val="28"/>
          <w:szCs w:val="28"/>
          <w:highlight w:val="none"/>
        </w:rPr>
      </w:pPr>
      <w:r>
        <w:rPr>
          <w:rStyle w:val="16"/>
          <w:rFonts w:hint="eastAsia" w:ascii="仿宋_GB2312" w:hAnsi="楷体" w:eastAsia="仿宋_GB2312"/>
          <w:b w:val="0"/>
          <w:spacing w:val="-4"/>
          <w:sz w:val="28"/>
          <w:szCs w:val="28"/>
          <w:highlight w:val="none"/>
          <w:lang w:val="en-US" w:eastAsia="zh-CN"/>
        </w:rPr>
        <w:t>3、2</w:t>
      </w:r>
      <w:r>
        <w:rPr>
          <w:rStyle w:val="16"/>
          <w:rFonts w:hint="eastAsia" w:ascii="仿宋_GB2312" w:hAnsi="宋体" w:eastAsia="仿宋_GB2312"/>
          <w:b w:val="0"/>
          <w:bCs w:val="0"/>
          <w:spacing w:val="-4"/>
          <w:sz w:val="28"/>
          <w:szCs w:val="28"/>
          <w:highlight w:val="none"/>
          <w:lang w:val="en-US" w:eastAsia="zh-CN"/>
        </w:rPr>
        <w:t>021年残疾人事业发展补助</w:t>
      </w:r>
      <w:r>
        <w:rPr>
          <w:rStyle w:val="16"/>
          <w:rFonts w:hint="eastAsia" w:ascii="仿宋_GB2312" w:hAnsi="宋体" w:eastAsia="仿宋_GB2312"/>
          <w:b w:val="0"/>
          <w:bCs w:val="0"/>
          <w:spacing w:val="-4"/>
          <w:sz w:val="28"/>
          <w:szCs w:val="28"/>
          <w:highlight w:val="none"/>
        </w:rPr>
        <w:t>项目成效显著</w:t>
      </w:r>
    </w:p>
    <w:p>
      <w:pPr>
        <w:pStyle w:val="2"/>
        <w:keepNext w:val="0"/>
        <w:keepLines w:val="0"/>
        <w:pageBreakBefore w:val="0"/>
        <w:widowControl/>
        <w:kinsoku/>
        <w:wordWrap/>
        <w:overflowPunct/>
        <w:topLinePunct w:val="0"/>
        <w:autoSpaceDE/>
        <w:autoSpaceDN/>
        <w:bidi w:val="0"/>
        <w:adjustRightInd/>
        <w:snapToGrid/>
        <w:spacing w:line="360" w:lineRule="auto"/>
        <w:ind w:firstLine="544" w:firstLineChars="200"/>
        <w:textAlignment w:val="auto"/>
        <w:rPr>
          <w:rStyle w:val="16"/>
          <w:rFonts w:hint="default" w:ascii="仿宋_GB2312" w:hAnsi="宋体" w:eastAsia="仿宋_GB2312" w:cs="Times New Roman"/>
          <w:b w:val="0"/>
          <w:bCs w:val="0"/>
          <w:spacing w:val="-4"/>
          <w:kern w:val="2"/>
          <w:sz w:val="28"/>
          <w:szCs w:val="28"/>
          <w:highlight w:val="none"/>
          <w:lang w:val="en-US" w:eastAsia="zh-CN" w:bidi="ar-SA"/>
        </w:rPr>
      </w:pPr>
      <w:r>
        <w:rPr>
          <w:rStyle w:val="16"/>
          <w:rFonts w:hint="eastAsia" w:ascii="仿宋_GB2312" w:hAnsi="宋体" w:eastAsia="仿宋_GB2312" w:cs="Times New Roman"/>
          <w:b w:val="0"/>
          <w:bCs w:val="0"/>
          <w:spacing w:val="-4"/>
          <w:kern w:val="2"/>
          <w:sz w:val="28"/>
          <w:szCs w:val="28"/>
          <w:highlight w:val="none"/>
          <w:lang w:val="en-US" w:eastAsia="zh-CN" w:bidi="ar-SA"/>
        </w:rPr>
        <w:t>残疾人精准康复服务680人，每人补助资金190元，合计资金：12.92万元、康复救助脑瘫、智力障碍残疾儿童16人，补助康复救助资金27.2万元、贫困成人肢体残疾人康复训练20人，每人补贴3000元，共6万元、精神残疾人服吃药补贴20人，每人补贴900元，合计补贴资金：1.8万元、发放残疾人辅助器具200个，残疾人辅助器具采购补贴5万元，助器具发放率达到100%各项工作成效显著。</w:t>
      </w:r>
    </w:p>
    <w:p>
      <w:pPr>
        <w:spacing w:line="360" w:lineRule="auto"/>
        <w:ind w:firstLine="544" w:firstLineChars="200"/>
        <w:rPr>
          <w:rStyle w:val="16"/>
          <w:rFonts w:hint="eastAsia" w:ascii="仿宋_GB2312" w:hAnsi="楷体" w:eastAsia="仿宋_GB2312" w:cs="Times New Roman"/>
          <w:b w:val="0"/>
          <w:spacing w:val="-4"/>
          <w:sz w:val="28"/>
          <w:szCs w:val="28"/>
          <w:highlight w:val="none"/>
          <w:lang w:val="en-US" w:eastAsia="zh-CN"/>
        </w:rPr>
      </w:pPr>
      <w:r>
        <w:rPr>
          <w:rStyle w:val="16"/>
          <w:rFonts w:hint="eastAsia" w:ascii="仿宋_GB2312" w:hAnsi="楷体" w:eastAsia="仿宋_GB2312" w:cs="Times New Roman"/>
          <w:b w:val="0"/>
          <w:spacing w:val="-4"/>
          <w:sz w:val="28"/>
          <w:szCs w:val="28"/>
          <w:highlight w:val="none"/>
          <w:lang w:val="en-US" w:eastAsia="zh-CN"/>
        </w:rPr>
        <w:t>4、2021年残疾人事业发展补助项目全面达标，群众满意度高</w:t>
      </w:r>
      <w:bookmarkStart w:id="30" w:name="_Toc70450316"/>
    </w:p>
    <w:p>
      <w:pPr>
        <w:spacing w:line="360" w:lineRule="auto"/>
        <w:ind w:firstLine="544" w:firstLineChars="200"/>
        <w:rPr>
          <w:rStyle w:val="16"/>
          <w:rFonts w:hint="default" w:ascii="仿宋_GB2312" w:hAnsi="宋体" w:eastAsia="仿宋_GB2312" w:cs="Times New Roman"/>
          <w:b w:val="0"/>
          <w:bCs w:val="0"/>
          <w:spacing w:val="-4"/>
          <w:kern w:val="2"/>
          <w:sz w:val="28"/>
          <w:szCs w:val="28"/>
          <w:lang w:val="en-US" w:eastAsia="zh-CN" w:bidi="ar-SA"/>
        </w:rPr>
      </w:pPr>
      <w:r>
        <w:rPr>
          <w:rStyle w:val="16"/>
          <w:rFonts w:hint="eastAsia" w:ascii="仿宋_GB2312" w:hAnsi="宋体" w:eastAsia="仿宋_GB2312" w:cs="Times New Roman"/>
          <w:b w:val="0"/>
          <w:bCs w:val="0"/>
          <w:spacing w:val="-4"/>
          <w:kern w:val="2"/>
          <w:sz w:val="28"/>
          <w:szCs w:val="28"/>
          <w:lang w:val="en-US" w:eastAsia="zh-CN" w:bidi="ar-SA"/>
        </w:rPr>
        <w:t>2021年残疾人事业发展补助项目各项指标达到预期目标值，各项工作开展尽然有序，既保障了残疾人残疾人康复水平，又完成了各项支出指标内容。残疾人满意度达到了较高水平。</w:t>
      </w:r>
    </w:p>
    <w:p>
      <w:pPr>
        <w:spacing w:line="360" w:lineRule="auto"/>
        <w:ind w:firstLine="422" w:firstLineChars="200"/>
        <w:rPr>
          <w:rStyle w:val="16"/>
          <w:rFonts w:ascii="仿宋" w:hAnsi="仿宋" w:eastAsia="仿宋"/>
          <w:b/>
          <w:bCs/>
        </w:rPr>
      </w:pPr>
      <w:r>
        <w:rPr>
          <w:rStyle w:val="16"/>
          <w:rFonts w:hint="eastAsia" w:ascii="仿宋" w:hAnsi="仿宋" w:eastAsia="仿宋"/>
          <w:b/>
          <w:bCs/>
        </w:rPr>
        <w:t>（三）有效性评价</w:t>
      </w:r>
      <w:bookmarkEnd w:id="30"/>
    </w:p>
    <w:p>
      <w:pPr>
        <w:spacing w:line="360" w:lineRule="auto"/>
        <w:ind w:firstLine="544" w:firstLineChars="200"/>
        <w:rPr>
          <w:rStyle w:val="16"/>
          <w:rFonts w:ascii="仿宋_GB2312" w:hAnsi="宋体" w:eastAsia="仿宋_GB2312"/>
          <w:b w:val="0"/>
          <w:bCs w:val="0"/>
          <w:color w:val="auto"/>
          <w:spacing w:val="-4"/>
          <w:sz w:val="28"/>
          <w:szCs w:val="28"/>
        </w:rPr>
      </w:pPr>
      <w:r>
        <w:rPr>
          <w:rStyle w:val="16"/>
          <w:rFonts w:hint="eastAsia" w:ascii="仿宋_GB2312" w:hAnsi="宋体" w:eastAsia="仿宋_GB2312"/>
          <w:b w:val="0"/>
          <w:bCs w:val="0"/>
          <w:color w:val="auto"/>
          <w:spacing w:val="-4"/>
          <w:sz w:val="28"/>
          <w:szCs w:val="28"/>
        </w:rPr>
        <w:t>202</w:t>
      </w:r>
      <w:r>
        <w:rPr>
          <w:rStyle w:val="16"/>
          <w:rFonts w:hint="eastAsia" w:ascii="仿宋_GB2312" w:hAnsi="宋体" w:eastAsia="仿宋_GB2312"/>
          <w:b w:val="0"/>
          <w:bCs w:val="0"/>
          <w:color w:val="auto"/>
          <w:spacing w:val="-4"/>
          <w:sz w:val="28"/>
          <w:szCs w:val="28"/>
          <w:lang w:val="en-US" w:eastAsia="zh-CN"/>
        </w:rPr>
        <w:t>1</w:t>
      </w:r>
      <w:r>
        <w:rPr>
          <w:rStyle w:val="16"/>
          <w:rFonts w:hint="eastAsia" w:ascii="仿宋_GB2312" w:hAnsi="宋体" w:eastAsia="仿宋_GB2312"/>
          <w:b w:val="0"/>
          <w:bCs w:val="0"/>
          <w:color w:val="auto"/>
          <w:spacing w:val="-4"/>
          <w:sz w:val="28"/>
          <w:szCs w:val="28"/>
        </w:rPr>
        <w:t>年部门支出的有效性主要体现在我单位各项工作成效上，一是</w:t>
      </w:r>
      <w:r>
        <w:rPr>
          <w:rStyle w:val="16"/>
          <w:rFonts w:hint="eastAsia" w:ascii="仿宋_GB2312" w:hAnsi="宋体" w:eastAsia="仿宋_GB2312"/>
          <w:b w:val="0"/>
          <w:bCs w:val="0"/>
          <w:color w:val="auto"/>
          <w:spacing w:val="-4"/>
          <w:sz w:val="28"/>
          <w:szCs w:val="28"/>
          <w:lang w:val="en-US" w:eastAsia="zh-CN"/>
        </w:rPr>
        <w:t>残疾人康复</w:t>
      </w:r>
      <w:r>
        <w:rPr>
          <w:rStyle w:val="16"/>
          <w:rFonts w:hint="eastAsia" w:ascii="仿宋_GB2312" w:hAnsi="宋体" w:eastAsia="仿宋_GB2312"/>
          <w:b w:val="0"/>
          <w:bCs w:val="0"/>
          <w:color w:val="auto"/>
          <w:spacing w:val="-4"/>
          <w:sz w:val="28"/>
          <w:szCs w:val="28"/>
        </w:rPr>
        <w:t>进一步夯实，二是</w:t>
      </w:r>
      <w:r>
        <w:rPr>
          <w:rStyle w:val="16"/>
          <w:rFonts w:hint="eastAsia" w:ascii="仿宋_GB2312" w:hAnsi="宋体" w:eastAsia="仿宋_GB2312"/>
          <w:b w:val="0"/>
          <w:bCs w:val="0"/>
          <w:color w:val="auto"/>
          <w:spacing w:val="-4"/>
          <w:sz w:val="28"/>
          <w:szCs w:val="28"/>
          <w:lang w:val="en-US" w:eastAsia="zh-CN"/>
        </w:rPr>
        <w:t>保障残疾人参与社会能力</w:t>
      </w:r>
      <w:r>
        <w:rPr>
          <w:rStyle w:val="16"/>
          <w:rFonts w:hint="eastAsia" w:ascii="仿宋_GB2312" w:hAnsi="宋体" w:eastAsia="仿宋_GB2312"/>
          <w:b w:val="0"/>
          <w:bCs w:val="0"/>
          <w:color w:val="auto"/>
          <w:spacing w:val="-4"/>
          <w:sz w:val="28"/>
          <w:szCs w:val="28"/>
        </w:rPr>
        <w:t>能力进一步提升，三是</w:t>
      </w:r>
      <w:r>
        <w:rPr>
          <w:rStyle w:val="16"/>
          <w:rFonts w:hint="eastAsia" w:ascii="仿宋_GB2312" w:hAnsi="宋体" w:eastAsia="仿宋_GB2312"/>
          <w:b w:val="0"/>
          <w:bCs w:val="0"/>
          <w:color w:val="auto"/>
          <w:spacing w:val="-4"/>
          <w:sz w:val="28"/>
          <w:szCs w:val="28"/>
          <w:lang w:val="en-US" w:eastAsia="zh-CN"/>
        </w:rPr>
        <w:t>残疾人生活居住条件</w:t>
      </w:r>
      <w:r>
        <w:rPr>
          <w:rStyle w:val="16"/>
          <w:rFonts w:hint="eastAsia" w:ascii="仿宋_GB2312" w:hAnsi="宋体" w:eastAsia="仿宋_GB2312"/>
          <w:b w:val="0"/>
          <w:bCs w:val="0"/>
          <w:color w:val="auto"/>
          <w:spacing w:val="-4"/>
          <w:sz w:val="28"/>
          <w:szCs w:val="28"/>
        </w:rPr>
        <w:t>进一步改善，四是</w:t>
      </w:r>
      <w:r>
        <w:rPr>
          <w:rStyle w:val="16"/>
          <w:rFonts w:hint="eastAsia" w:ascii="仿宋_GB2312" w:hAnsi="宋体" w:eastAsia="仿宋_GB2312"/>
          <w:b w:val="0"/>
          <w:bCs w:val="0"/>
          <w:color w:val="auto"/>
          <w:spacing w:val="-4"/>
          <w:sz w:val="28"/>
          <w:szCs w:val="28"/>
          <w:lang w:val="en-US" w:eastAsia="zh-CN"/>
        </w:rPr>
        <w:t>残疾人满意度</w:t>
      </w:r>
      <w:r>
        <w:rPr>
          <w:rStyle w:val="16"/>
          <w:rFonts w:hint="eastAsia" w:ascii="仿宋_GB2312" w:hAnsi="宋体" w:eastAsia="仿宋_GB2312"/>
          <w:b w:val="0"/>
          <w:bCs w:val="0"/>
          <w:color w:val="auto"/>
          <w:spacing w:val="-4"/>
          <w:sz w:val="28"/>
          <w:szCs w:val="28"/>
        </w:rPr>
        <w:t>进一步提高，五是</w:t>
      </w:r>
      <w:r>
        <w:rPr>
          <w:rStyle w:val="16"/>
          <w:rFonts w:hint="eastAsia" w:ascii="仿宋_GB2312" w:hAnsi="宋体" w:eastAsia="仿宋_GB2312"/>
          <w:b w:val="0"/>
          <w:bCs w:val="0"/>
          <w:color w:val="auto"/>
          <w:spacing w:val="-4"/>
          <w:sz w:val="28"/>
          <w:szCs w:val="28"/>
          <w:lang w:val="en-US" w:eastAsia="zh-CN"/>
        </w:rPr>
        <w:t>残疾人康复工作</w:t>
      </w:r>
      <w:r>
        <w:rPr>
          <w:rStyle w:val="16"/>
          <w:rFonts w:hint="eastAsia" w:ascii="仿宋_GB2312" w:hAnsi="宋体" w:eastAsia="仿宋_GB2312"/>
          <w:b w:val="0"/>
          <w:bCs w:val="0"/>
          <w:color w:val="auto"/>
          <w:spacing w:val="-4"/>
          <w:sz w:val="28"/>
          <w:szCs w:val="28"/>
        </w:rPr>
        <w:t>进一步推进，七是</w:t>
      </w:r>
      <w:r>
        <w:rPr>
          <w:rStyle w:val="16"/>
          <w:rFonts w:hint="eastAsia" w:ascii="仿宋_GB2312" w:hAnsi="宋体" w:eastAsia="仿宋_GB2312"/>
          <w:b w:val="0"/>
          <w:bCs w:val="0"/>
          <w:color w:val="auto"/>
          <w:spacing w:val="-4"/>
          <w:sz w:val="28"/>
          <w:szCs w:val="28"/>
          <w:lang w:val="en-US" w:eastAsia="zh-CN"/>
        </w:rPr>
        <w:t>全县残疾人康复</w:t>
      </w:r>
      <w:r>
        <w:rPr>
          <w:rStyle w:val="16"/>
          <w:rFonts w:hint="eastAsia" w:ascii="仿宋_GB2312" w:hAnsi="宋体" w:eastAsia="仿宋_GB2312"/>
          <w:b w:val="0"/>
          <w:bCs w:val="0"/>
          <w:color w:val="auto"/>
          <w:spacing w:val="-4"/>
          <w:sz w:val="28"/>
          <w:szCs w:val="28"/>
        </w:rPr>
        <w:t>水平进一步增强，详细情况如下：</w:t>
      </w:r>
    </w:p>
    <w:p>
      <w:pPr>
        <w:snapToGrid w:val="0"/>
        <w:spacing w:line="360" w:lineRule="auto"/>
        <w:ind w:firstLine="544" w:firstLineChars="200"/>
        <w:rPr>
          <w:rStyle w:val="16"/>
          <w:rFonts w:ascii="仿宋_GB2312" w:eastAsia="仿宋_GB2312" w:hAnsiTheme="minorEastAsia"/>
          <w:b w:val="0"/>
          <w:spacing w:val="-4"/>
          <w:sz w:val="28"/>
          <w:szCs w:val="28"/>
        </w:rPr>
      </w:pPr>
      <w:r>
        <w:rPr>
          <w:rStyle w:val="16"/>
          <w:rFonts w:hint="eastAsia" w:ascii="仿宋_GB2312" w:eastAsia="仿宋_GB2312" w:hAnsiTheme="minorEastAsia"/>
          <w:b w:val="0"/>
          <w:spacing w:val="-4"/>
          <w:sz w:val="28"/>
          <w:szCs w:val="28"/>
          <w:lang w:val="en-US" w:eastAsia="zh-CN"/>
        </w:rPr>
        <w:t>残疾人残疾人联合会</w:t>
      </w:r>
      <w:r>
        <w:rPr>
          <w:rStyle w:val="16"/>
          <w:rFonts w:hint="eastAsia" w:ascii="仿宋_GB2312" w:eastAsia="仿宋_GB2312" w:hAnsiTheme="minorEastAsia"/>
          <w:b w:val="0"/>
          <w:spacing w:val="-4"/>
          <w:sz w:val="28"/>
          <w:szCs w:val="28"/>
        </w:rPr>
        <w:t>单位整体绩效目标共设置一级指标</w:t>
      </w:r>
      <w:r>
        <w:rPr>
          <w:rStyle w:val="16"/>
          <w:rFonts w:hint="eastAsia" w:ascii="仿宋_GB2312" w:eastAsia="仿宋_GB2312" w:hAnsiTheme="minorEastAsia"/>
          <w:b w:val="0"/>
          <w:spacing w:val="-4"/>
          <w:sz w:val="28"/>
          <w:szCs w:val="28"/>
          <w:lang w:val="en-US" w:eastAsia="zh-CN"/>
        </w:rPr>
        <w:t>3</w:t>
      </w:r>
      <w:r>
        <w:rPr>
          <w:rStyle w:val="16"/>
          <w:rFonts w:hint="eastAsia" w:ascii="仿宋_GB2312" w:eastAsia="仿宋_GB2312" w:hAnsiTheme="minorEastAsia"/>
          <w:b w:val="0"/>
          <w:spacing w:val="-4"/>
          <w:sz w:val="28"/>
          <w:szCs w:val="28"/>
        </w:rPr>
        <w:t>个，二级指标</w:t>
      </w:r>
      <w:r>
        <w:rPr>
          <w:rStyle w:val="16"/>
          <w:rFonts w:hint="eastAsia" w:ascii="仿宋_GB2312" w:eastAsia="仿宋_GB2312" w:hAnsiTheme="minorEastAsia"/>
          <w:b w:val="0"/>
          <w:spacing w:val="-4"/>
          <w:sz w:val="28"/>
          <w:szCs w:val="28"/>
          <w:lang w:val="en-US" w:eastAsia="zh-CN"/>
        </w:rPr>
        <w:t>6</w:t>
      </w:r>
      <w:r>
        <w:rPr>
          <w:rStyle w:val="16"/>
          <w:rFonts w:hint="eastAsia" w:ascii="仿宋_GB2312" w:eastAsia="仿宋_GB2312" w:hAnsiTheme="minorEastAsia"/>
          <w:b w:val="0"/>
          <w:spacing w:val="-4"/>
          <w:sz w:val="28"/>
          <w:szCs w:val="28"/>
        </w:rPr>
        <w:t>个，三级指标</w:t>
      </w:r>
      <w:r>
        <w:rPr>
          <w:rStyle w:val="16"/>
          <w:rFonts w:hint="eastAsia" w:ascii="仿宋_GB2312" w:eastAsia="仿宋_GB2312" w:hAnsiTheme="minorEastAsia"/>
          <w:b w:val="0"/>
          <w:spacing w:val="-4"/>
          <w:sz w:val="28"/>
          <w:szCs w:val="28"/>
          <w:lang w:val="en-US" w:eastAsia="zh-CN"/>
        </w:rPr>
        <w:t>15</w:t>
      </w:r>
      <w:r>
        <w:rPr>
          <w:rStyle w:val="16"/>
          <w:rFonts w:hint="eastAsia" w:ascii="仿宋_GB2312" w:eastAsia="仿宋_GB2312" w:hAnsiTheme="minorEastAsia"/>
          <w:b w:val="0"/>
          <w:spacing w:val="-4"/>
          <w:sz w:val="28"/>
          <w:szCs w:val="28"/>
        </w:rPr>
        <w:t>个，详细说明如下</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1</w:t>
      </w:r>
      <w:r>
        <w:rPr>
          <w:rStyle w:val="16"/>
          <w:rFonts w:hint="eastAsia" w:ascii="仿宋_GB2312" w:hAnsi="宋体" w:eastAsia="仿宋_GB2312"/>
          <w:b w:val="0"/>
          <w:spacing w:val="-4"/>
          <w:sz w:val="28"/>
          <w:szCs w:val="28"/>
        </w:rPr>
        <w:t>、数量指标：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指标1：保障在职人员人数，指标值：=8人，实际完成值：8人，指标完成率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hint="eastAsia"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：供暖面积，指标值：=136.12平方米，实际完成值：136.12平方米，指标完成率=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hint="eastAsia" w:ascii="仿宋_GB2312" w:hAnsi="宋体" w:eastAsia="仿宋_GB2312"/>
          <w:b w:val="0"/>
          <w:spacing w:val="-4"/>
          <w:sz w:val="28"/>
          <w:szCs w:val="28"/>
          <w:lang w:val="en-US" w:eastAsia="zh-CN"/>
        </w:rPr>
        <w:t>3</w:t>
      </w:r>
      <w:r>
        <w:rPr>
          <w:rStyle w:val="16"/>
          <w:rFonts w:hint="eastAsia" w:ascii="仿宋_GB2312" w:hAnsi="宋体" w:eastAsia="仿宋_GB2312"/>
          <w:b w:val="0"/>
          <w:spacing w:val="-4"/>
          <w:sz w:val="28"/>
          <w:szCs w:val="28"/>
        </w:rPr>
        <w:t>：工资福利发放次数，指标值：&gt;=12次，实际完成值：12次，指标完成率=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hint="eastAsia"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hint="eastAsia" w:ascii="仿宋_GB2312" w:hAnsi="宋体" w:eastAsia="仿宋_GB2312"/>
          <w:b w:val="0"/>
          <w:spacing w:val="-4"/>
          <w:sz w:val="28"/>
          <w:szCs w:val="28"/>
          <w:lang w:val="en-US" w:eastAsia="zh-CN"/>
        </w:rPr>
        <w:t>4</w:t>
      </w:r>
      <w:r>
        <w:rPr>
          <w:rStyle w:val="16"/>
          <w:rFonts w:hint="eastAsia" w:ascii="仿宋_GB2312" w:hAnsi="宋体" w:eastAsia="仿宋_GB2312"/>
          <w:b w:val="0"/>
          <w:spacing w:val="-4"/>
          <w:sz w:val="28"/>
          <w:szCs w:val="28"/>
        </w:rPr>
        <w:t>：用车数量，指标值：=1辆，实际完成值：1辆，指标完成率=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、质量指标：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指标1：全系统人员工资及社保正常发放率，指标值：=100%，实际完成值：100%，指标完成率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：慰问退休干部覆盖率 ，指标值：=100%，实际完成值：100%，指标完成率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3</w:t>
      </w:r>
      <w:r>
        <w:rPr>
          <w:rStyle w:val="16"/>
          <w:rFonts w:hint="eastAsia" w:ascii="仿宋_GB2312" w:hAnsi="宋体" w:eastAsia="仿宋_GB2312"/>
          <w:b w:val="0"/>
          <w:spacing w:val="-4"/>
          <w:sz w:val="28"/>
          <w:szCs w:val="28"/>
        </w:rPr>
        <w:t>、时效指标：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指标1：公用经费支出及时性，指标值：=100%，实际完成值：100%，指标完成率100%；</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：工资福利发放及时性，指标值：=100%，实际完成值：</w:t>
      </w:r>
      <w:r>
        <w:rPr>
          <w:rStyle w:val="16"/>
          <w:rFonts w:hint="eastAsia" w:ascii="仿宋_GB2312" w:hAnsi="宋体" w:eastAsia="仿宋_GB2312"/>
          <w:b w:val="0"/>
          <w:bCs/>
          <w:spacing w:val="-4"/>
          <w:sz w:val="28"/>
          <w:szCs w:val="28"/>
        </w:rPr>
        <w:t>100%</w:t>
      </w:r>
      <w:r>
        <w:rPr>
          <w:rStyle w:val="16"/>
          <w:rFonts w:hint="eastAsia" w:ascii="仿宋_GB2312" w:hAnsi="宋体" w:eastAsia="仿宋_GB2312"/>
          <w:b w:val="0"/>
          <w:spacing w:val="-4"/>
          <w:sz w:val="28"/>
          <w:szCs w:val="28"/>
        </w:rPr>
        <w:t xml:space="preserve"> ，指标完成率100%；</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4</w:t>
      </w:r>
      <w:r>
        <w:rPr>
          <w:rStyle w:val="16"/>
          <w:rFonts w:hint="eastAsia" w:ascii="仿宋_GB2312" w:hAnsi="宋体" w:eastAsia="仿宋_GB2312"/>
          <w:b w:val="0"/>
          <w:spacing w:val="-4"/>
          <w:sz w:val="28"/>
          <w:szCs w:val="28"/>
        </w:rPr>
        <w:t>、成本指标：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指标1：人均工资福利支出，指标值：&lt;=11.61万元/人，实际完成值：11.61万元/人，指标完成率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：人均运转经费数，指标值：&lt;=4000元/人，实际完成值：</w:t>
      </w:r>
      <w:r>
        <w:rPr>
          <w:rStyle w:val="16"/>
          <w:rFonts w:hint="eastAsia" w:ascii="仿宋_GB2312" w:hAnsi="宋体" w:eastAsia="仿宋_GB2312"/>
          <w:b w:val="0"/>
          <w:spacing w:val="-4"/>
          <w:sz w:val="28"/>
          <w:szCs w:val="28"/>
          <w:lang w:val="en-US" w:eastAsia="zh-CN"/>
        </w:rPr>
        <w:t>4</w:t>
      </w:r>
      <w:r>
        <w:rPr>
          <w:rStyle w:val="16"/>
          <w:rFonts w:hint="eastAsia" w:ascii="仿宋_GB2312" w:hAnsi="宋体" w:eastAsia="仿宋_GB2312"/>
          <w:b w:val="0"/>
          <w:spacing w:val="-4"/>
          <w:sz w:val="28"/>
          <w:szCs w:val="28"/>
        </w:rPr>
        <w:t>000元/人，指标完成率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lang w:val="en-US" w:eastAsia="zh-CN"/>
        </w:rPr>
        <w:t>5</w:t>
      </w:r>
      <w:r>
        <w:rPr>
          <w:rStyle w:val="16"/>
          <w:rFonts w:hint="eastAsia" w:ascii="仿宋_GB2312" w:hAnsi="宋体" w:eastAsia="仿宋_GB2312"/>
          <w:b w:val="0"/>
          <w:spacing w:val="-4"/>
          <w:sz w:val="28"/>
          <w:szCs w:val="28"/>
        </w:rPr>
        <w:t>、社会效益指标：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指标1：保障全系统日常工作运转，指标值：有效保障，实际完成值：有效保障，指标完成率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：统筹安排残疾人就业工作，指标值：正常运转，实际完成值：正常运转，指标完成率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lang w:val="en-US" w:eastAsia="zh-CN"/>
        </w:rPr>
        <w:t>6</w:t>
      </w:r>
      <w:r>
        <w:rPr>
          <w:rStyle w:val="16"/>
          <w:rFonts w:hint="eastAsia" w:ascii="仿宋_GB2312" w:hAnsi="宋体" w:eastAsia="仿宋_GB2312"/>
          <w:b w:val="0"/>
          <w:spacing w:val="-4"/>
          <w:sz w:val="28"/>
          <w:szCs w:val="28"/>
        </w:rPr>
        <w:t>、满意度指标：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指标1：残疾人满意度，指标值：&gt;=93%，实际完成值：93%，指标完成率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hint="eastAsia"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：干部职工满意度，指标值：=100%，实际完成值：100%，指标完成率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hint="eastAsia" w:ascii="仿宋_GB2312" w:hAnsi="宋体" w:eastAsia="仿宋_GB2312"/>
          <w:b w:val="0"/>
          <w:spacing w:val="-4"/>
          <w:sz w:val="28"/>
          <w:szCs w:val="28"/>
          <w:lang w:eastAsia="zh-CN"/>
        </w:rPr>
      </w:pPr>
      <w:r>
        <w:rPr>
          <w:rStyle w:val="16"/>
          <w:rFonts w:hint="eastAsia" w:ascii="仿宋_GB2312" w:hAnsi="宋体" w:eastAsia="仿宋_GB2312"/>
          <w:b w:val="0"/>
          <w:spacing w:val="-4"/>
          <w:sz w:val="28"/>
          <w:szCs w:val="28"/>
        </w:rPr>
        <w:t>指标</w:t>
      </w:r>
      <w:r>
        <w:rPr>
          <w:rStyle w:val="16"/>
          <w:rFonts w:hint="eastAsia" w:ascii="仿宋_GB2312" w:hAnsi="宋体" w:eastAsia="仿宋_GB2312"/>
          <w:b w:val="0"/>
          <w:spacing w:val="-4"/>
          <w:sz w:val="28"/>
          <w:szCs w:val="28"/>
          <w:lang w:val="en-US" w:eastAsia="zh-CN"/>
        </w:rPr>
        <w:t>3</w:t>
      </w:r>
      <w:r>
        <w:rPr>
          <w:rStyle w:val="16"/>
          <w:rFonts w:hint="eastAsia" w:ascii="仿宋_GB2312" w:hAnsi="宋体" w:eastAsia="仿宋_GB2312"/>
          <w:b w:val="0"/>
          <w:spacing w:val="-4"/>
          <w:sz w:val="28"/>
          <w:szCs w:val="28"/>
        </w:rPr>
        <w:t>：退休干部满意度，指标值：=</w:t>
      </w:r>
      <w:r>
        <w:rPr>
          <w:rStyle w:val="16"/>
          <w:rFonts w:hint="eastAsia" w:ascii="仿宋_GB2312" w:hAnsi="宋体" w:eastAsia="仿宋_GB2312"/>
          <w:b w:val="0"/>
          <w:spacing w:val="-4"/>
          <w:sz w:val="28"/>
          <w:szCs w:val="28"/>
          <w:lang w:val="en-US" w:eastAsia="zh-CN"/>
        </w:rPr>
        <w:t>97</w:t>
      </w:r>
      <w:r>
        <w:rPr>
          <w:rStyle w:val="16"/>
          <w:rFonts w:hint="eastAsia" w:ascii="仿宋_GB2312" w:hAnsi="宋体" w:eastAsia="仿宋_GB2312"/>
          <w:b w:val="0"/>
          <w:spacing w:val="-4"/>
          <w:sz w:val="28"/>
          <w:szCs w:val="28"/>
        </w:rPr>
        <w:t>%，实际完成值：</w:t>
      </w:r>
      <w:r>
        <w:rPr>
          <w:rStyle w:val="16"/>
          <w:rFonts w:hint="eastAsia" w:ascii="仿宋_GB2312" w:hAnsi="宋体" w:eastAsia="仿宋_GB2312"/>
          <w:b w:val="0"/>
          <w:spacing w:val="-4"/>
          <w:sz w:val="28"/>
          <w:szCs w:val="28"/>
          <w:lang w:val="en-US" w:eastAsia="zh-CN"/>
        </w:rPr>
        <w:t>97</w:t>
      </w:r>
      <w:r>
        <w:rPr>
          <w:rStyle w:val="16"/>
          <w:rFonts w:hint="eastAsia" w:ascii="仿宋_GB2312" w:hAnsi="宋体" w:eastAsia="仿宋_GB2312"/>
          <w:b w:val="0"/>
          <w:spacing w:val="-4"/>
          <w:sz w:val="28"/>
          <w:szCs w:val="28"/>
        </w:rPr>
        <w:t>%，指标完成率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r>
        <w:rPr>
          <w:rStyle w:val="16"/>
          <w:rFonts w:hint="eastAsia" w:ascii="仿宋_GB2312" w:hAnsi="宋体" w:eastAsia="仿宋_GB2312"/>
          <w:b w:val="0"/>
          <w:spacing w:val="-4"/>
          <w:sz w:val="28"/>
          <w:szCs w:val="28"/>
          <w:lang w:eastAsia="zh-CN"/>
        </w:rPr>
        <w:t>。</w:t>
      </w:r>
    </w:p>
    <w:p>
      <w:pPr>
        <w:snapToGrid w:val="0"/>
        <w:spacing w:line="360" w:lineRule="auto"/>
        <w:ind w:firstLine="544" w:firstLineChars="200"/>
        <w:rPr>
          <w:rStyle w:val="16"/>
          <w:rFonts w:hint="eastAsia" w:ascii="仿宋_GB2312" w:hAnsi="宋体" w:eastAsia="仿宋_GB2312"/>
          <w:b w:val="0"/>
          <w:spacing w:val="-4"/>
          <w:sz w:val="28"/>
          <w:szCs w:val="28"/>
        </w:rPr>
      </w:pPr>
    </w:p>
    <w:p>
      <w:pPr>
        <w:spacing w:line="360" w:lineRule="auto"/>
        <w:ind w:firstLine="544" w:firstLineChars="200"/>
        <w:rPr>
          <w:rStyle w:val="16"/>
          <w:rFonts w:ascii="仿宋_GB2312" w:hAnsi="宋体" w:eastAsia="仿宋_GB2312"/>
          <w:b w:val="0"/>
          <w:bCs w:val="0"/>
          <w:color w:val="FF0000"/>
          <w:spacing w:val="-4"/>
          <w:sz w:val="28"/>
          <w:szCs w:val="28"/>
        </w:rPr>
      </w:pPr>
    </w:p>
    <w:p>
      <w:pPr>
        <w:pStyle w:val="4"/>
        <w:spacing w:line="360" w:lineRule="auto"/>
        <w:rPr>
          <w:rFonts w:ascii="仿宋" w:hAnsi="仿宋" w:eastAsia="仿宋"/>
          <w:sz w:val="36"/>
          <w:szCs w:val="36"/>
          <w:highlight w:val="none"/>
          <w:lang w:bidi="ar"/>
        </w:rPr>
      </w:pPr>
      <w:bookmarkStart w:id="31" w:name="_Toc70450317"/>
      <w:bookmarkStart w:id="37" w:name="_GoBack"/>
      <w:r>
        <w:rPr>
          <w:rFonts w:hint="eastAsia" w:ascii="仿宋" w:hAnsi="仿宋" w:eastAsia="仿宋"/>
          <w:sz w:val="36"/>
          <w:szCs w:val="36"/>
          <w:highlight w:val="none"/>
          <w:lang w:bidi="ar"/>
        </w:rPr>
        <w:t>六、存在的主要问题</w:t>
      </w:r>
      <w:bookmarkEnd w:id="31"/>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(一)预算执行存在偏差</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1.由于个别项目指标到第四季度下达，在预算执行中造成个别预算子项调剂现象；对个别项目资金使用方面预算不够细致，出现实际支出数超出了预算申报数或出现项目资金结余数额多的情况，导致调剂频繁，缺乏预算编制的科学性。</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2.项目细化管理工作不足。预算执行存在偏差。由于个别项目指标到第四季度下达，在预算执行中造成个别预算子项调剂现象；对个别项目资金使用方面预算不够细致，出现实际支出数超出了预算申报数或出现项目资金结余数额多的情况，导致调剂频繁，缺乏预算编制的科学性。</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3.预算绩效管理水平仍有欠缺。在预算绩效管理工作中，存在“重投入轻管理、重支出轻绩效”的情况，对全面实施预算绩效管理的要求认识还不到位，项目申报、实施等环节与预算绩效管理各个环节联系不够紧密。</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4.固定资产管理水平有待提高。固定资产台账未及时与账面资产金额对账且末与实物进行清点及及时清理处置报废资产导致资产台账与账面资产金额存在差异,固定资产管理继续加强中。</w:t>
      </w:r>
    </w:p>
    <w:p>
      <w:pPr>
        <w:spacing w:line="360" w:lineRule="auto"/>
        <w:rPr>
          <w:highlight w:val="none"/>
          <w:lang w:bidi="ar"/>
        </w:rPr>
      </w:pPr>
    </w:p>
    <w:p>
      <w:pPr>
        <w:pStyle w:val="4"/>
        <w:spacing w:line="360" w:lineRule="auto"/>
        <w:rPr>
          <w:rFonts w:ascii="仿宋" w:hAnsi="仿宋" w:eastAsia="仿宋"/>
          <w:sz w:val="36"/>
          <w:szCs w:val="36"/>
          <w:highlight w:val="none"/>
          <w:lang w:bidi="ar"/>
        </w:rPr>
      </w:pPr>
      <w:bookmarkStart w:id="32" w:name="_Toc70450318"/>
      <w:r>
        <w:rPr>
          <w:rFonts w:hint="eastAsia" w:ascii="仿宋" w:hAnsi="仿宋" w:eastAsia="仿宋"/>
          <w:sz w:val="36"/>
          <w:szCs w:val="36"/>
          <w:highlight w:val="none"/>
          <w:lang w:bidi="ar"/>
        </w:rPr>
        <w:t>七、改进措施和建议</w:t>
      </w:r>
      <w:bookmarkEnd w:id="32"/>
    </w:p>
    <w:p>
      <w:pPr>
        <w:spacing w:line="360" w:lineRule="auto"/>
        <w:rPr>
          <w:highlight w:val="none"/>
          <w:lang w:bidi="ar"/>
        </w:rPr>
      </w:pPr>
    </w:p>
    <w:p>
      <w:pPr>
        <w:pStyle w:val="5"/>
        <w:spacing w:line="360" w:lineRule="auto"/>
        <w:rPr>
          <w:rStyle w:val="16"/>
          <w:rFonts w:ascii="仿宋" w:hAnsi="仿宋" w:eastAsia="仿宋"/>
          <w:b/>
          <w:bCs/>
          <w:highlight w:val="none"/>
        </w:rPr>
      </w:pPr>
      <w:bookmarkStart w:id="33" w:name="_Toc70450319"/>
      <w:r>
        <w:rPr>
          <w:rStyle w:val="16"/>
          <w:rFonts w:hint="eastAsia" w:ascii="仿宋" w:hAnsi="仿宋" w:eastAsia="仿宋"/>
          <w:b/>
          <w:bCs/>
          <w:highlight w:val="none"/>
        </w:rPr>
        <w:t>（一）改进措施</w:t>
      </w:r>
      <w:bookmarkEnd w:id="33"/>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1.加强新行政单位会计制度和新预算法学习培训、规范账务处理，加强新《预算法》、《行政单位会计制度》 、《会计法》 、《行政单位财务规则》等学习培训,规范部门预算收支核算。 一是制定和完善基本支出、项目支出等各项支出标准,严格按项目进度执行预算, 增强预算的约束力和严肃性。二是落实预算执行分析,及时了解预算执行差异,合理调整、纠正预算执行偏差，切实提高部门预算收支管理水平。尽可能地做到决算与预算相衔接。</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2.完善管理制度,进-步加强资产管理。严格按照《固定资产管理办法》的规定，加强固定资产管理,及时登记、更新台账，加强资产卡片管理,对各类实物资产进行全面盘点,确保账账、账实相符。</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3.加强学习。进一步明确如何参照考核体系，科学合理设定绩效目标，充分发挥预算绩效管理工作效用。</w:t>
      </w:r>
    </w:p>
    <w:p>
      <w:pPr>
        <w:spacing w:line="360" w:lineRule="auto"/>
        <w:rPr>
          <w:rFonts w:ascii="仿宋" w:hAnsi="仿宋" w:eastAsia="仿宋"/>
          <w:sz w:val="22"/>
          <w:szCs w:val="28"/>
          <w:highlight w:val="none"/>
        </w:rPr>
      </w:pPr>
    </w:p>
    <w:p>
      <w:pPr>
        <w:pStyle w:val="5"/>
        <w:spacing w:line="360" w:lineRule="auto"/>
        <w:rPr>
          <w:rStyle w:val="16"/>
          <w:rFonts w:ascii="仿宋" w:hAnsi="仿宋" w:eastAsia="仿宋"/>
          <w:b/>
          <w:bCs/>
          <w:highlight w:val="none"/>
        </w:rPr>
      </w:pPr>
      <w:bookmarkStart w:id="34" w:name="_Toc70450320"/>
      <w:r>
        <w:rPr>
          <w:rStyle w:val="16"/>
          <w:rFonts w:hint="eastAsia" w:ascii="仿宋" w:hAnsi="仿宋" w:eastAsia="仿宋"/>
          <w:b/>
          <w:bCs/>
          <w:highlight w:val="none"/>
        </w:rPr>
        <w:t>（二）建议</w:t>
      </w:r>
      <w:bookmarkEnd w:id="34"/>
    </w:p>
    <w:p>
      <w:pPr>
        <w:snapToGrid w:val="0"/>
        <w:spacing w:line="360" w:lineRule="auto"/>
        <w:ind w:firstLine="544" w:firstLineChars="200"/>
        <w:rPr>
          <w:rStyle w:val="16"/>
          <w:rFonts w:ascii="仿宋_GB2312" w:hAnsi="宋体" w:eastAsia="仿宋_GB2312" w:cs="Times New Roman"/>
          <w:b w:val="0"/>
          <w:spacing w:val="-4"/>
          <w:sz w:val="28"/>
          <w:szCs w:val="28"/>
          <w:highlight w:val="none"/>
        </w:rPr>
      </w:pPr>
      <w:r>
        <w:rPr>
          <w:rStyle w:val="16"/>
          <w:rFonts w:hint="eastAsia" w:ascii="仿宋_GB2312" w:hAnsi="宋体" w:eastAsia="仿宋_GB2312" w:cs="Times New Roman"/>
          <w:b w:val="0"/>
          <w:spacing w:val="-4"/>
          <w:sz w:val="28"/>
          <w:szCs w:val="28"/>
          <w:highlight w:val="none"/>
        </w:rPr>
        <w:t>1.财务上，会计核算应该更加详细，为本单位各项工作的开展、总结、评估提供有效数据资料支撑,为各项业务工作更好的开展提供帮助。</w:t>
      </w:r>
    </w:p>
    <w:p>
      <w:pPr>
        <w:snapToGrid w:val="0"/>
        <w:spacing w:line="360" w:lineRule="auto"/>
        <w:ind w:firstLine="544" w:firstLineChars="200"/>
        <w:rPr>
          <w:rStyle w:val="16"/>
          <w:rFonts w:ascii="仿宋_GB2312" w:hAnsi="宋体" w:eastAsia="仿宋_GB2312" w:cs="Times New Roman"/>
          <w:b w:val="0"/>
          <w:spacing w:val="-4"/>
          <w:sz w:val="28"/>
          <w:szCs w:val="28"/>
          <w:highlight w:val="none"/>
        </w:rPr>
      </w:pPr>
      <w:r>
        <w:rPr>
          <w:rStyle w:val="16"/>
          <w:rFonts w:hint="eastAsia" w:ascii="仿宋_GB2312" w:hAnsi="宋体" w:eastAsia="仿宋_GB2312" w:cs="Times New Roman"/>
          <w:b w:val="0"/>
          <w:spacing w:val="-4"/>
          <w:sz w:val="28"/>
          <w:szCs w:val="28"/>
          <w:highlight w:val="none"/>
        </w:rPr>
        <w:t>2.应从源头上强化对专项资金预算管理。实行专项资金预算管理，结合单位实际, 按轻重缓急统筹安排编制预算,提高预算编制科学性和合理性,优化资金结构。</w:t>
      </w:r>
    </w:p>
    <w:p>
      <w:pPr>
        <w:snapToGrid w:val="0"/>
        <w:spacing w:line="360" w:lineRule="auto"/>
        <w:ind w:firstLine="544" w:firstLineChars="200"/>
        <w:rPr>
          <w:rStyle w:val="16"/>
          <w:rFonts w:ascii="仿宋_GB2312" w:hAnsi="宋体" w:eastAsia="仿宋_GB2312" w:cs="Times New Roman"/>
          <w:b w:val="0"/>
          <w:spacing w:val="-4"/>
          <w:sz w:val="28"/>
          <w:szCs w:val="28"/>
          <w:highlight w:val="none"/>
        </w:rPr>
      </w:pPr>
      <w:r>
        <w:rPr>
          <w:rStyle w:val="16"/>
          <w:rFonts w:hint="eastAsia" w:ascii="仿宋_GB2312" w:hAnsi="宋体" w:eastAsia="仿宋_GB2312" w:cs="Times New Roman"/>
          <w:b w:val="0"/>
          <w:spacing w:val="-4"/>
          <w:sz w:val="28"/>
          <w:szCs w:val="28"/>
          <w:highlight w:val="none"/>
        </w:rPr>
        <w:t>3.建议按时间进度分解资金使用计划。专项资金的使用，要事前做计划，事中进行控制，事后总结提高。合理安排资金使用,充分体现资金投向的目标和效益。</w:t>
      </w:r>
    </w:p>
    <w:p>
      <w:pPr>
        <w:snapToGrid w:val="0"/>
        <w:spacing w:line="360" w:lineRule="auto"/>
        <w:ind w:firstLine="544" w:firstLineChars="200"/>
        <w:rPr>
          <w:rStyle w:val="16"/>
          <w:rFonts w:ascii="仿宋_GB2312" w:hAnsi="宋体" w:eastAsia="仿宋_GB2312" w:cs="Times New Roman"/>
          <w:b w:val="0"/>
          <w:spacing w:val="-4"/>
          <w:sz w:val="28"/>
          <w:szCs w:val="28"/>
          <w:highlight w:val="none"/>
        </w:rPr>
      </w:pPr>
      <w:r>
        <w:rPr>
          <w:rStyle w:val="16"/>
          <w:rFonts w:hint="eastAsia" w:ascii="仿宋_GB2312" w:hAnsi="宋体" w:eastAsia="仿宋_GB2312" w:cs="Times New Roman"/>
          <w:b w:val="0"/>
          <w:spacing w:val="-4"/>
          <w:sz w:val="28"/>
          <w:szCs w:val="28"/>
          <w:highlight w:val="none"/>
        </w:rPr>
        <w:t>4.绩效管理水平应进一步提高。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p>
    <w:bookmarkEnd w:id="37"/>
    <w:p>
      <w:pPr>
        <w:spacing w:line="360" w:lineRule="auto"/>
      </w:pPr>
    </w:p>
    <w:p>
      <w:pPr>
        <w:pStyle w:val="4"/>
        <w:spacing w:line="360" w:lineRule="auto"/>
        <w:rPr>
          <w:rStyle w:val="16"/>
          <w:rFonts w:ascii="仿宋" w:hAnsi="仿宋" w:eastAsia="仿宋"/>
          <w:b/>
          <w:bCs/>
          <w:sz w:val="36"/>
          <w:szCs w:val="36"/>
        </w:rPr>
      </w:pPr>
      <w:bookmarkStart w:id="35" w:name="_Toc70450321"/>
      <w:r>
        <w:rPr>
          <w:rStyle w:val="16"/>
          <w:rFonts w:hint="eastAsia" w:ascii="仿宋" w:hAnsi="仿宋" w:eastAsia="仿宋"/>
          <w:b/>
          <w:bCs/>
          <w:sz w:val="36"/>
          <w:szCs w:val="36"/>
        </w:rPr>
        <w:t>八、附表</w:t>
      </w:r>
      <w:r>
        <w:rPr>
          <w:rStyle w:val="16"/>
          <w:rFonts w:hint="eastAsia" w:ascii="仿宋" w:hAnsi="仿宋" w:eastAsia="仿宋"/>
          <w:b w:val="0"/>
          <w:bCs w:val="0"/>
          <w:spacing w:val="-4"/>
          <w:sz w:val="36"/>
          <w:szCs w:val="36"/>
        </w:rPr>
        <w:t>：</w:t>
      </w:r>
      <w:bookmarkStart w:id="36" w:name="_Hlk70450148"/>
      <w:r>
        <w:rPr>
          <w:rStyle w:val="16"/>
          <w:rFonts w:hint="eastAsia" w:ascii="仿宋" w:hAnsi="仿宋" w:eastAsia="仿宋"/>
          <w:b/>
          <w:bCs/>
          <w:sz w:val="36"/>
          <w:szCs w:val="36"/>
        </w:rPr>
        <w:t>《部门整体支出绩效目标自评表》</w:t>
      </w:r>
      <w:bookmarkEnd w:id="35"/>
      <w:bookmarkEnd w:id="36"/>
    </w:p>
    <w:p>
      <w:r>
        <w:br w:type="page"/>
      </w:r>
    </w:p>
    <w:tbl>
      <w:tblPr>
        <w:tblStyle w:val="14"/>
        <w:tblW w:w="8434" w:type="dxa"/>
        <w:tblInd w:w="93" w:type="dxa"/>
        <w:tblLayout w:type="fixed"/>
        <w:tblCellMar>
          <w:top w:w="0" w:type="dxa"/>
          <w:left w:w="108" w:type="dxa"/>
          <w:bottom w:w="0" w:type="dxa"/>
          <w:right w:w="108" w:type="dxa"/>
        </w:tblCellMar>
      </w:tblPr>
      <w:tblGrid>
        <w:gridCol w:w="752"/>
        <w:gridCol w:w="1144"/>
        <w:gridCol w:w="1706"/>
        <w:gridCol w:w="805"/>
        <w:gridCol w:w="805"/>
        <w:gridCol w:w="806"/>
        <w:gridCol w:w="805"/>
        <w:gridCol w:w="402"/>
        <w:gridCol w:w="403"/>
        <w:gridCol w:w="806"/>
      </w:tblGrid>
      <w:tr>
        <w:tblPrEx>
          <w:tblCellMar>
            <w:top w:w="0" w:type="dxa"/>
            <w:left w:w="108" w:type="dxa"/>
            <w:bottom w:w="0" w:type="dxa"/>
            <w:right w:w="108" w:type="dxa"/>
          </w:tblCellMar>
        </w:tblPrEx>
        <w:trPr>
          <w:trHeight w:val="405" w:hRule="atLeast"/>
        </w:trPr>
        <w:tc>
          <w:tcPr>
            <w:tcW w:w="8434"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方正小标宋_GBK" w:hAnsi="宋体" w:eastAsia="方正小标宋_GBK" w:cs="宋体"/>
                <w:kern w:val="0"/>
                <w:sz w:val="44"/>
                <w:szCs w:val="44"/>
              </w:rPr>
            </w:pPr>
            <w:r>
              <w:rPr>
                <w:rFonts w:hint="eastAsia" w:ascii="宋体" w:hAnsi="宋体" w:eastAsia="宋体" w:cs="宋体"/>
                <w:b/>
                <w:bCs/>
                <w:i w:val="0"/>
                <w:iCs w:val="0"/>
                <w:color w:val="000000"/>
                <w:kern w:val="0"/>
                <w:sz w:val="32"/>
                <w:szCs w:val="32"/>
                <w:u w:val="none"/>
                <w:lang w:val="en-US" w:eastAsia="zh-CN" w:bidi="ar"/>
              </w:rPr>
              <w:t>部门整体支出绩效目标自评表</w:t>
            </w:r>
          </w:p>
        </w:tc>
      </w:tr>
      <w:tr>
        <w:tblPrEx>
          <w:tblCellMar>
            <w:top w:w="0" w:type="dxa"/>
            <w:left w:w="108" w:type="dxa"/>
            <w:bottom w:w="0" w:type="dxa"/>
            <w:right w:w="108" w:type="dxa"/>
          </w:tblCellMar>
        </w:tblPrEx>
        <w:trPr>
          <w:trHeight w:val="285" w:hRule="atLeast"/>
        </w:trPr>
        <w:tc>
          <w:tcPr>
            <w:tcW w:w="8434"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32"/>
                <w:szCs w:val="32"/>
                <w:u w:val="none"/>
                <w:lang w:val="en-US" w:eastAsia="zh-CN" w:bidi="ar"/>
              </w:rPr>
              <w:t>(2021年)</w:t>
            </w:r>
          </w:p>
        </w:tc>
      </w:tr>
      <w:tr>
        <w:tblPrEx>
          <w:tblCellMar>
            <w:top w:w="0" w:type="dxa"/>
            <w:left w:w="108" w:type="dxa"/>
            <w:bottom w:w="0" w:type="dxa"/>
            <w:right w:w="108" w:type="dxa"/>
          </w:tblCellMar>
        </w:tblPrEx>
        <w:trPr>
          <w:trHeight w:val="285" w:hRule="atLeast"/>
        </w:trPr>
        <w:tc>
          <w:tcPr>
            <w:tcW w:w="1896" w:type="dxa"/>
            <w:gridSpan w:val="2"/>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部门（单位）名称</w:t>
            </w:r>
          </w:p>
        </w:tc>
        <w:tc>
          <w:tcPr>
            <w:tcW w:w="6538" w:type="dxa"/>
            <w:gridSpan w:val="8"/>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4"/>
                <w:szCs w:val="24"/>
                <w:u w:val="none"/>
                <w:lang w:val="en-US" w:eastAsia="zh-CN" w:bidi="ar"/>
              </w:rPr>
              <w:t>特克斯县残疾人联合会</w:t>
            </w:r>
          </w:p>
        </w:tc>
      </w:tr>
      <w:tr>
        <w:tblPrEx>
          <w:tblCellMar>
            <w:top w:w="0" w:type="dxa"/>
            <w:left w:w="108" w:type="dxa"/>
            <w:bottom w:w="0" w:type="dxa"/>
            <w:right w:w="108" w:type="dxa"/>
          </w:tblCellMar>
        </w:tblPrEx>
        <w:trPr>
          <w:trHeight w:val="285" w:hRule="atLeast"/>
        </w:trPr>
        <w:tc>
          <w:tcPr>
            <w:tcW w:w="752" w:type="dxa"/>
            <w:vMerge w:val="restart"/>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年度主要任务</w:t>
            </w:r>
          </w:p>
        </w:tc>
        <w:tc>
          <w:tcPr>
            <w:tcW w:w="1144" w:type="dxa"/>
            <w:vMerge w:val="restart"/>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任务名称</w:t>
            </w:r>
          </w:p>
        </w:tc>
        <w:tc>
          <w:tcPr>
            <w:tcW w:w="1706" w:type="dxa"/>
            <w:vMerge w:val="restart"/>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主要内容</w:t>
            </w:r>
          </w:p>
        </w:tc>
        <w:tc>
          <w:tcPr>
            <w:tcW w:w="2416"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预算金额（万元）</w:t>
            </w:r>
          </w:p>
        </w:tc>
        <w:tc>
          <w:tcPr>
            <w:tcW w:w="2416"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实际执行（万元）</w:t>
            </w:r>
          </w:p>
        </w:tc>
      </w:tr>
      <w:tr>
        <w:tblPrEx>
          <w:tblCellMar>
            <w:top w:w="0" w:type="dxa"/>
            <w:left w:w="108" w:type="dxa"/>
            <w:bottom w:w="0" w:type="dxa"/>
            <w:right w:w="108" w:type="dxa"/>
          </w:tblCellMar>
        </w:tblPrEx>
        <w:trPr>
          <w:trHeight w:val="285" w:hRule="atLeast"/>
        </w:trPr>
        <w:tc>
          <w:tcPr>
            <w:tcW w:w="752"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144"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ascii="宋体" w:hAnsi="宋体" w:eastAsia="宋体" w:cs="宋体"/>
                <w:kern w:val="0"/>
                <w:sz w:val="24"/>
              </w:rPr>
            </w:pPr>
          </w:p>
        </w:tc>
        <w:tc>
          <w:tcPr>
            <w:tcW w:w="1706"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80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总额</w:t>
            </w:r>
          </w:p>
        </w:tc>
        <w:tc>
          <w:tcPr>
            <w:tcW w:w="80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财政拨款</w:t>
            </w:r>
          </w:p>
        </w:tc>
        <w:tc>
          <w:tcPr>
            <w:tcW w:w="806"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b/>
                <w:bCs/>
                <w:i w:val="0"/>
                <w:iCs w:val="0"/>
                <w:color w:val="000000"/>
                <w:kern w:val="0"/>
                <w:sz w:val="24"/>
                <w:szCs w:val="24"/>
                <w:u w:val="none"/>
                <w:lang w:val="en-US" w:eastAsia="zh-CN" w:bidi="ar"/>
              </w:rPr>
              <w:t>其他资金</w:t>
            </w:r>
          </w:p>
        </w:tc>
        <w:tc>
          <w:tcPr>
            <w:tcW w:w="80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总额</w:t>
            </w:r>
          </w:p>
        </w:tc>
        <w:tc>
          <w:tcPr>
            <w:tcW w:w="805" w:type="dxa"/>
            <w:gridSpan w:val="2"/>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财政拨款</w:t>
            </w:r>
          </w:p>
        </w:tc>
        <w:tc>
          <w:tcPr>
            <w:tcW w:w="806"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其他资金</w:t>
            </w:r>
          </w:p>
        </w:tc>
      </w:tr>
      <w:tr>
        <w:tblPrEx>
          <w:tblCellMar>
            <w:top w:w="0" w:type="dxa"/>
            <w:left w:w="108" w:type="dxa"/>
            <w:bottom w:w="0" w:type="dxa"/>
            <w:right w:w="108" w:type="dxa"/>
          </w:tblCellMar>
        </w:tblPrEx>
        <w:trPr>
          <w:trHeight w:val="285" w:hRule="atLeast"/>
        </w:trPr>
        <w:tc>
          <w:tcPr>
            <w:tcW w:w="75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144" w:type="dxa"/>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人员保障</w:t>
            </w:r>
          </w:p>
        </w:tc>
        <w:tc>
          <w:tcPr>
            <w:tcW w:w="170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人员保障主要包含基本工资、津贴补贴、奖金、机关事业单位基本养老保险缴费、其他社会保障缴费、住房公积金等。对个人和家庭的补助支出包括退休费、生活补助等。</w:t>
            </w:r>
          </w:p>
        </w:tc>
        <w:tc>
          <w:tcPr>
            <w:tcW w:w="80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92.90 </w:t>
            </w:r>
          </w:p>
        </w:tc>
        <w:tc>
          <w:tcPr>
            <w:tcW w:w="80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92.90 </w:t>
            </w:r>
          </w:p>
        </w:tc>
        <w:tc>
          <w:tcPr>
            <w:tcW w:w="806"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0.00 </w:t>
            </w:r>
          </w:p>
        </w:tc>
        <w:tc>
          <w:tcPr>
            <w:tcW w:w="80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92.90 </w:t>
            </w:r>
          </w:p>
        </w:tc>
        <w:tc>
          <w:tcPr>
            <w:tcW w:w="805"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92.90 </w:t>
            </w:r>
          </w:p>
        </w:tc>
        <w:tc>
          <w:tcPr>
            <w:tcW w:w="806"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0.00 </w:t>
            </w:r>
          </w:p>
        </w:tc>
      </w:tr>
      <w:tr>
        <w:tblPrEx>
          <w:tblCellMar>
            <w:top w:w="0" w:type="dxa"/>
            <w:left w:w="108" w:type="dxa"/>
            <w:bottom w:w="0" w:type="dxa"/>
            <w:right w:w="108" w:type="dxa"/>
          </w:tblCellMar>
        </w:tblPrEx>
        <w:trPr>
          <w:trHeight w:val="285" w:hRule="atLeast"/>
        </w:trPr>
        <w:tc>
          <w:tcPr>
            <w:tcW w:w="75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144"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运转保障</w:t>
            </w:r>
          </w:p>
        </w:tc>
        <w:tc>
          <w:tcPr>
            <w:tcW w:w="1706" w:type="dxa"/>
            <w:tcBorders>
              <w:top w:val="nil"/>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运转保障包括办公费、水费、电费、邮电费、取暖费、差旅费、工会经费、福利费、公务用车运行维修费等</w:t>
            </w:r>
          </w:p>
        </w:tc>
        <w:tc>
          <w:tcPr>
            <w:tcW w:w="805"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3.20 </w:t>
            </w:r>
          </w:p>
        </w:tc>
        <w:tc>
          <w:tcPr>
            <w:tcW w:w="80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3.20 </w:t>
            </w:r>
          </w:p>
        </w:tc>
        <w:tc>
          <w:tcPr>
            <w:tcW w:w="806"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0.00 </w:t>
            </w:r>
          </w:p>
        </w:tc>
        <w:tc>
          <w:tcPr>
            <w:tcW w:w="80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3.20 </w:t>
            </w:r>
          </w:p>
        </w:tc>
        <w:tc>
          <w:tcPr>
            <w:tcW w:w="805"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3.20 </w:t>
            </w:r>
          </w:p>
        </w:tc>
        <w:tc>
          <w:tcPr>
            <w:tcW w:w="806"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0.00 </w:t>
            </w:r>
          </w:p>
        </w:tc>
      </w:tr>
      <w:tr>
        <w:tblPrEx>
          <w:tblCellMar>
            <w:top w:w="0" w:type="dxa"/>
            <w:left w:w="108" w:type="dxa"/>
            <w:bottom w:w="0" w:type="dxa"/>
            <w:right w:w="108" w:type="dxa"/>
          </w:tblCellMar>
        </w:tblPrEx>
        <w:trPr>
          <w:trHeight w:val="285" w:hRule="atLeast"/>
        </w:trPr>
        <w:tc>
          <w:tcPr>
            <w:tcW w:w="75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2850"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金额合计</w:t>
            </w:r>
          </w:p>
        </w:tc>
        <w:tc>
          <w:tcPr>
            <w:tcW w:w="805"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96.10 </w:t>
            </w:r>
          </w:p>
        </w:tc>
        <w:tc>
          <w:tcPr>
            <w:tcW w:w="80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96.10 </w:t>
            </w:r>
          </w:p>
        </w:tc>
        <w:tc>
          <w:tcPr>
            <w:tcW w:w="806"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0.00 </w:t>
            </w:r>
          </w:p>
        </w:tc>
        <w:tc>
          <w:tcPr>
            <w:tcW w:w="80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96.10 </w:t>
            </w:r>
          </w:p>
        </w:tc>
        <w:tc>
          <w:tcPr>
            <w:tcW w:w="805"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96.10 </w:t>
            </w:r>
          </w:p>
        </w:tc>
        <w:tc>
          <w:tcPr>
            <w:tcW w:w="806"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0.00 </w:t>
            </w:r>
          </w:p>
        </w:tc>
      </w:tr>
      <w:tr>
        <w:tblPrEx>
          <w:tblCellMar>
            <w:top w:w="0" w:type="dxa"/>
            <w:left w:w="108" w:type="dxa"/>
            <w:bottom w:w="0" w:type="dxa"/>
            <w:right w:w="108" w:type="dxa"/>
          </w:tblCellMar>
        </w:tblPrEx>
        <w:trPr>
          <w:trHeight w:val="285" w:hRule="atLeast"/>
        </w:trPr>
        <w:tc>
          <w:tcPr>
            <w:tcW w:w="752" w:type="dxa"/>
            <w:vMerge w:val="restart"/>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年度总体目标</w:t>
            </w:r>
          </w:p>
        </w:tc>
        <w:tc>
          <w:tcPr>
            <w:tcW w:w="3655"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default" w:ascii="宋体" w:hAnsi="宋体" w:eastAsia="宋体" w:cs="宋体"/>
                <w:kern w:val="0"/>
                <w:sz w:val="24"/>
                <w:lang w:val="en-US" w:eastAsia="zh-CN"/>
              </w:rPr>
            </w:pPr>
            <w:r>
              <w:rPr>
                <w:rFonts w:hint="eastAsia" w:ascii="宋体" w:hAnsi="宋体" w:eastAsia="宋体" w:cs="宋体"/>
                <w:b/>
                <w:bCs/>
                <w:i w:val="0"/>
                <w:iCs w:val="0"/>
                <w:color w:val="000000"/>
                <w:kern w:val="0"/>
                <w:sz w:val="24"/>
                <w:szCs w:val="24"/>
                <w:u w:val="none"/>
                <w:lang w:val="en-US" w:eastAsia="zh-CN" w:bidi="ar"/>
              </w:rPr>
              <w:t>预期目标</w:t>
            </w:r>
          </w:p>
        </w:tc>
        <w:tc>
          <w:tcPr>
            <w:tcW w:w="4027" w:type="dxa"/>
            <w:gridSpan w:val="6"/>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b/>
                <w:bCs/>
                <w:i w:val="0"/>
                <w:iCs w:val="0"/>
                <w:color w:val="000000"/>
                <w:kern w:val="0"/>
                <w:sz w:val="24"/>
                <w:szCs w:val="24"/>
                <w:u w:val="none"/>
                <w:lang w:val="en-US" w:eastAsia="zh-CN" w:bidi="ar"/>
              </w:rPr>
              <w:t>实际完成目标</w:t>
            </w:r>
          </w:p>
        </w:tc>
      </w:tr>
      <w:tr>
        <w:tblPrEx>
          <w:tblCellMar>
            <w:top w:w="0" w:type="dxa"/>
            <w:left w:w="108" w:type="dxa"/>
            <w:bottom w:w="0" w:type="dxa"/>
            <w:right w:w="108" w:type="dxa"/>
          </w:tblCellMar>
        </w:tblPrEx>
        <w:trPr>
          <w:trHeight w:val="285" w:hRule="atLeast"/>
        </w:trPr>
        <w:tc>
          <w:tcPr>
            <w:tcW w:w="752"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3655"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人员保障主要包含基本工资、津贴补贴、奖金、机关事业单位基本养老保险缴费、其他社会保障缴费、住房公积金等。对个人和家庭的补助支出包括退休费、生活补助等。运转保障包括办公费、水费、电费、邮电费、取暖费、差旅费、工会经费、福利费、公务用车运行维修费等</w:t>
            </w:r>
          </w:p>
        </w:tc>
        <w:tc>
          <w:tcPr>
            <w:tcW w:w="4027" w:type="dxa"/>
            <w:gridSpan w:val="6"/>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保障人员保障主要包含基本工资、津贴补贴、奖金、机关事业单位基本养老保险缴费、其他社会保障缴费、住房公积金等。对个人和家庭的补助支出包括退休费、生活补助等。运转保障包括办公费、水费、电费、邮电费、取暖费、差旅费、工会经费、福利费、公务用车运行维修费等</w:t>
            </w:r>
          </w:p>
        </w:tc>
      </w:tr>
      <w:tr>
        <w:tblPrEx>
          <w:tblCellMar>
            <w:top w:w="0" w:type="dxa"/>
            <w:left w:w="108" w:type="dxa"/>
            <w:bottom w:w="0" w:type="dxa"/>
            <w:right w:w="108" w:type="dxa"/>
          </w:tblCellMar>
        </w:tblPrEx>
        <w:trPr>
          <w:trHeight w:val="2070" w:hRule="atLeast"/>
        </w:trPr>
        <w:tc>
          <w:tcPr>
            <w:tcW w:w="752"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年度绩效指标</w:t>
            </w:r>
          </w:p>
        </w:tc>
        <w:tc>
          <w:tcPr>
            <w:tcW w:w="114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一级指标</w:t>
            </w:r>
          </w:p>
        </w:tc>
        <w:tc>
          <w:tcPr>
            <w:tcW w:w="170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二级指标</w:t>
            </w:r>
          </w:p>
        </w:tc>
        <w:tc>
          <w:tcPr>
            <w:tcW w:w="2416"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三级指标</w:t>
            </w:r>
          </w:p>
        </w:tc>
        <w:tc>
          <w:tcPr>
            <w:tcW w:w="1207"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预期指标值（包含数字及文字描述）</w:t>
            </w:r>
          </w:p>
        </w:tc>
        <w:tc>
          <w:tcPr>
            <w:tcW w:w="1209"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实际完成指标值（包含数字及文字描述）</w:t>
            </w:r>
          </w:p>
        </w:tc>
      </w:tr>
      <w:tr>
        <w:tblPrEx>
          <w:tblCellMar>
            <w:top w:w="0" w:type="dxa"/>
            <w:left w:w="108" w:type="dxa"/>
            <w:bottom w:w="0" w:type="dxa"/>
            <w:right w:w="108" w:type="dxa"/>
          </w:tblCellMar>
        </w:tblPrEx>
        <w:trPr>
          <w:trHeight w:val="885" w:hRule="atLeast"/>
        </w:trPr>
        <w:tc>
          <w:tcPr>
            <w:tcW w:w="752"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14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产出指标</w:t>
            </w:r>
          </w:p>
        </w:tc>
        <w:tc>
          <w:tcPr>
            <w:tcW w:w="170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数量指标</w:t>
            </w:r>
          </w:p>
        </w:tc>
        <w:tc>
          <w:tcPr>
            <w:tcW w:w="241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保障在职人员人数</w:t>
            </w:r>
          </w:p>
        </w:tc>
        <w:tc>
          <w:tcPr>
            <w:tcW w:w="12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kern w:val="0"/>
                <w:sz w:val="24"/>
              </w:rPr>
            </w:pPr>
            <w:r>
              <w:rPr>
                <w:rFonts w:hint="eastAsia" w:ascii="宋体" w:hAnsi="宋体" w:eastAsia="宋体" w:cs="宋体"/>
                <w:i w:val="0"/>
                <w:iCs w:val="0"/>
                <w:color w:val="000000"/>
                <w:kern w:val="0"/>
                <w:sz w:val="20"/>
                <w:szCs w:val="20"/>
                <w:u w:val="none"/>
                <w:lang w:val="en-US" w:eastAsia="zh-CN" w:bidi="ar"/>
              </w:rPr>
              <w:t>=8人</w:t>
            </w:r>
          </w:p>
        </w:tc>
        <w:tc>
          <w:tcPr>
            <w:tcW w:w="12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8人</w:t>
            </w:r>
          </w:p>
        </w:tc>
      </w:tr>
      <w:tr>
        <w:tblPrEx>
          <w:tblCellMar>
            <w:top w:w="0" w:type="dxa"/>
            <w:left w:w="108" w:type="dxa"/>
            <w:bottom w:w="0" w:type="dxa"/>
            <w:right w:w="108" w:type="dxa"/>
          </w:tblCellMar>
        </w:tblPrEx>
        <w:trPr>
          <w:trHeight w:val="285" w:hRule="atLeast"/>
        </w:trPr>
        <w:tc>
          <w:tcPr>
            <w:tcW w:w="75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14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70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241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供暖面积</w:t>
            </w:r>
          </w:p>
        </w:tc>
        <w:tc>
          <w:tcPr>
            <w:tcW w:w="12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24"/>
                <w:lang w:val="en-US" w:eastAsia="zh-CN"/>
              </w:rPr>
            </w:pPr>
            <w:r>
              <w:rPr>
                <w:rFonts w:hint="eastAsia" w:ascii="宋体" w:hAnsi="宋体" w:eastAsia="宋体" w:cs="宋体"/>
                <w:i w:val="0"/>
                <w:iCs w:val="0"/>
                <w:color w:val="000000"/>
                <w:kern w:val="0"/>
                <w:sz w:val="20"/>
                <w:szCs w:val="20"/>
                <w:u w:val="none"/>
                <w:lang w:val="en-US" w:eastAsia="zh-CN" w:bidi="ar"/>
              </w:rPr>
              <w:t>=136.12平方米</w:t>
            </w:r>
          </w:p>
        </w:tc>
        <w:tc>
          <w:tcPr>
            <w:tcW w:w="1209"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136.12平方米</w:t>
            </w:r>
          </w:p>
        </w:tc>
      </w:tr>
      <w:tr>
        <w:tblPrEx>
          <w:tblCellMar>
            <w:top w:w="0" w:type="dxa"/>
            <w:left w:w="108" w:type="dxa"/>
            <w:bottom w:w="0" w:type="dxa"/>
            <w:right w:w="108" w:type="dxa"/>
          </w:tblCellMar>
        </w:tblPrEx>
        <w:trPr>
          <w:trHeight w:val="285" w:hRule="atLeast"/>
        </w:trPr>
        <w:tc>
          <w:tcPr>
            <w:tcW w:w="75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144"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70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241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用车数量</w:t>
            </w:r>
          </w:p>
        </w:tc>
        <w:tc>
          <w:tcPr>
            <w:tcW w:w="12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=1辆</w:t>
            </w:r>
          </w:p>
        </w:tc>
        <w:tc>
          <w:tcPr>
            <w:tcW w:w="1209"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1辆</w:t>
            </w:r>
          </w:p>
        </w:tc>
      </w:tr>
      <w:tr>
        <w:tblPrEx>
          <w:tblCellMar>
            <w:top w:w="0" w:type="dxa"/>
            <w:left w:w="108" w:type="dxa"/>
            <w:bottom w:w="0" w:type="dxa"/>
            <w:right w:w="108" w:type="dxa"/>
          </w:tblCellMar>
        </w:tblPrEx>
        <w:trPr>
          <w:trHeight w:val="285" w:hRule="atLeast"/>
        </w:trPr>
        <w:tc>
          <w:tcPr>
            <w:tcW w:w="75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144"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70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kern w:val="0"/>
                <w:sz w:val="24"/>
              </w:rPr>
            </w:pPr>
          </w:p>
        </w:tc>
        <w:tc>
          <w:tcPr>
            <w:tcW w:w="241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工资福利发放次数</w:t>
            </w:r>
          </w:p>
        </w:tc>
        <w:tc>
          <w:tcPr>
            <w:tcW w:w="12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&gt;=12次</w:t>
            </w:r>
          </w:p>
        </w:tc>
        <w:tc>
          <w:tcPr>
            <w:tcW w:w="1209"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12次</w:t>
            </w:r>
          </w:p>
        </w:tc>
      </w:tr>
      <w:tr>
        <w:tblPrEx>
          <w:tblCellMar>
            <w:top w:w="0" w:type="dxa"/>
            <w:left w:w="108" w:type="dxa"/>
            <w:bottom w:w="0" w:type="dxa"/>
            <w:right w:w="108" w:type="dxa"/>
          </w:tblCellMar>
        </w:tblPrEx>
        <w:trPr>
          <w:trHeight w:val="285" w:hRule="atLeast"/>
        </w:trPr>
        <w:tc>
          <w:tcPr>
            <w:tcW w:w="75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144"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70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质量指标</w:t>
            </w:r>
          </w:p>
        </w:tc>
        <w:tc>
          <w:tcPr>
            <w:tcW w:w="241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全系统人员工资及社保正常发放率</w:t>
            </w:r>
          </w:p>
        </w:tc>
        <w:tc>
          <w:tcPr>
            <w:tcW w:w="12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=100%</w:t>
            </w:r>
          </w:p>
        </w:tc>
        <w:tc>
          <w:tcPr>
            <w:tcW w:w="1209"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100%</w:t>
            </w:r>
          </w:p>
        </w:tc>
      </w:tr>
      <w:tr>
        <w:tblPrEx>
          <w:tblCellMar>
            <w:top w:w="0" w:type="dxa"/>
            <w:left w:w="108" w:type="dxa"/>
            <w:bottom w:w="0" w:type="dxa"/>
            <w:right w:w="108" w:type="dxa"/>
          </w:tblCellMar>
        </w:tblPrEx>
        <w:trPr>
          <w:trHeight w:val="285" w:hRule="atLeast"/>
        </w:trPr>
        <w:tc>
          <w:tcPr>
            <w:tcW w:w="75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14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70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241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慰问退休干部覆盖率</w:t>
            </w:r>
          </w:p>
        </w:tc>
        <w:tc>
          <w:tcPr>
            <w:tcW w:w="12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=100%</w:t>
            </w:r>
          </w:p>
        </w:tc>
        <w:tc>
          <w:tcPr>
            <w:tcW w:w="1209"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100%</w:t>
            </w:r>
          </w:p>
        </w:tc>
      </w:tr>
      <w:tr>
        <w:tblPrEx>
          <w:tblCellMar>
            <w:top w:w="0" w:type="dxa"/>
            <w:left w:w="108" w:type="dxa"/>
            <w:bottom w:w="0" w:type="dxa"/>
            <w:right w:w="108" w:type="dxa"/>
          </w:tblCellMar>
        </w:tblPrEx>
        <w:trPr>
          <w:trHeight w:val="285" w:hRule="atLeast"/>
        </w:trPr>
        <w:tc>
          <w:tcPr>
            <w:tcW w:w="75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144"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70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时效指标</w:t>
            </w:r>
          </w:p>
        </w:tc>
        <w:tc>
          <w:tcPr>
            <w:tcW w:w="241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公用经费支出及时性</w:t>
            </w:r>
          </w:p>
        </w:tc>
        <w:tc>
          <w:tcPr>
            <w:tcW w:w="12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=100%</w:t>
            </w:r>
          </w:p>
        </w:tc>
        <w:tc>
          <w:tcPr>
            <w:tcW w:w="1209"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100%</w:t>
            </w:r>
          </w:p>
        </w:tc>
      </w:tr>
      <w:tr>
        <w:tblPrEx>
          <w:tblCellMar>
            <w:top w:w="0" w:type="dxa"/>
            <w:left w:w="108" w:type="dxa"/>
            <w:bottom w:w="0" w:type="dxa"/>
            <w:right w:w="108" w:type="dxa"/>
          </w:tblCellMar>
        </w:tblPrEx>
        <w:trPr>
          <w:trHeight w:val="285" w:hRule="atLeast"/>
        </w:trPr>
        <w:tc>
          <w:tcPr>
            <w:tcW w:w="75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144"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70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241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工资福利发放及时性</w:t>
            </w:r>
          </w:p>
        </w:tc>
        <w:tc>
          <w:tcPr>
            <w:tcW w:w="12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=100%</w:t>
            </w:r>
          </w:p>
        </w:tc>
        <w:tc>
          <w:tcPr>
            <w:tcW w:w="1209"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100%</w:t>
            </w:r>
          </w:p>
        </w:tc>
      </w:tr>
      <w:tr>
        <w:tblPrEx>
          <w:tblCellMar>
            <w:top w:w="0" w:type="dxa"/>
            <w:left w:w="108" w:type="dxa"/>
            <w:bottom w:w="0" w:type="dxa"/>
            <w:right w:w="108" w:type="dxa"/>
          </w:tblCellMar>
        </w:tblPrEx>
        <w:trPr>
          <w:trHeight w:val="285" w:hRule="atLeast"/>
        </w:trPr>
        <w:tc>
          <w:tcPr>
            <w:tcW w:w="75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14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70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成本指标</w:t>
            </w:r>
          </w:p>
        </w:tc>
        <w:tc>
          <w:tcPr>
            <w:tcW w:w="241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人均工资福利支出</w:t>
            </w:r>
          </w:p>
        </w:tc>
        <w:tc>
          <w:tcPr>
            <w:tcW w:w="12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&lt;=11.61万元/人</w:t>
            </w:r>
          </w:p>
        </w:tc>
        <w:tc>
          <w:tcPr>
            <w:tcW w:w="1209"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11.61万元/人</w:t>
            </w:r>
          </w:p>
        </w:tc>
      </w:tr>
      <w:tr>
        <w:tblPrEx>
          <w:tblCellMar>
            <w:top w:w="0" w:type="dxa"/>
            <w:left w:w="108" w:type="dxa"/>
            <w:bottom w:w="0" w:type="dxa"/>
            <w:right w:w="108" w:type="dxa"/>
          </w:tblCellMar>
        </w:tblPrEx>
        <w:trPr>
          <w:trHeight w:val="285" w:hRule="atLeast"/>
        </w:trPr>
        <w:tc>
          <w:tcPr>
            <w:tcW w:w="75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144"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70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241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人均运转经费数</w:t>
            </w:r>
          </w:p>
        </w:tc>
        <w:tc>
          <w:tcPr>
            <w:tcW w:w="12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&lt;=4000元/人</w:t>
            </w:r>
          </w:p>
        </w:tc>
        <w:tc>
          <w:tcPr>
            <w:tcW w:w="1209"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4000元/人</w:t>
            </w:r>
          </w:p>
        </w:tc>
      </w:tr>
      <w:tr>
        <w:tblPrEx>
          <w:tblCellMar>
            <w:top w:w="0" w:type="dxa"/>
            <w:left w:w="108" w:type="dxa"/>
            <w:bottom w:w="0" w:type="dxa"/>
            <w:right w:w="108" w:type="dxa"/>
          </w:tblCellMar>
        </w:tblPrEx>
        <w:trPr>
          <w:trHeight w:val="285" w:hRule="atLeast"/>
        </w:trPr>
        <w:tc>
          <w:tcPr>
            <w:tcW w:w="75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144"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效益指标</w:t>
            </w:r>
          </w:p>
        </w:tc>
        <w:tc>
          <w:tcPr>
            <w:tcW w:w="170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社会效益指标</w:t>
            </w:r>
          </w:p>
        </w:tc>
        <w:tc>
          <w:tcPr>
            <w:tcW w:w="241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统筹安排残疾人就业工作</w:t>
            </w:r>
          </w:p>
        </w:tc>
        <w:tc>
          <w:tcPr>
            <w:tcW w:w="12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正常运转</w:t>
            </w:r>
          </w:p>
        </w:tc>
        <w:tc>
          <w:tcPr>
            <w:tcW w:w="1209"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正常运转</w:t>
            </w:r>
          </w:p>
        </w:tc>
      </w:tr>
      <w:tr>
        <w:tblPrEx>
          <w:tblCellMar>
            <w:top w:w="0" w:type="dxa"/>
            <w:left w:w="108" w:type="dxa"/>
            <w:bottom w:w="0" w:type="dxa"/>
            <w:right w:w="108" w:type="dxa"/>
          </w:tblCellMar>
        </w:tblPrEx>
        <w:trPr>
          <w:trHeight w:val="285" w:hRule="atLeast"/>
        </w:trPr>
        <w:tc>
          <w:tcPr>
            <w:tcW w:w="75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14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70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241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保障全系统日常工作运转</w:t>
            </w:r>
          </w:p>
        </w:tc>
        <w:tc>
          <w:tcPr>
            <w:tcW w:w="12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有效保障</w:t>
            </w:r>
          </w:p>
        </w:tc>
        <w:tc>
          <w:tcPr>
            <w:tcW w:w="1209"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有效保障</w:t>
            </w:r>
          </w:p>
        </w:tc>
      </w:tr>
      <w:tr>
        <w:tblPrEx>
          <w:tblCellMar>
            <w:top w:w="0" w:type="dxa"/>
            <w:left w:w="108" w:type="dxa"/>
            <w:bottom w:w="0" w:type="dxa"/>
            <w:right w:w="108" w:type="dxa"/>
          </w:tblCellMar>
        </w:tblPrEx>
        <w:trPr>
          <w:trHeight w:val="285" w:hRule="atLeast"/>
        </w:trPr>
        <w:tc>
          <w:tcPr>
            <w:tcW w:w="75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144"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满意度指标</w:t>
            </w:r>
          </w:p>
        </w:tc>
        <w:tc>
          <w:tcPr>
            <w:tcW w:w="170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满意度指标</w:t>
            </w:r>
          </w:p>
        </w:tc>
        <w:tc>
          <w:tcPr>
            <w:tcW w:w="241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残疾人满意度</w:t>
            </w:r>
          </w:p>
        </w:tc>
        <w:tc>
          <w:tcPr>
            <w:tcW w:w="12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&gt;=93%</w:t>
            </w:r>
          </w:p>
        </w:tc>
        <w:tc>
          <w:tcPr>
            <w:tcW w:w="1209"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93%</w:t>
            </w:r>
          </w:p>
        </w:tc>
      </w:tr>
      <w:tr>
        <w:tblPrEx>
          <w:tblCellMar>
            <w:top w:w="0" w:type="dxa"/>
            <w:left w:w="108" w:type="dxa"/>
            <w:bottom w:w="0" w:type="dxa"/>
            <w:right w:w="108" w:type="dxa"/>
          </w:tblCellMar>
        </w:tblPrEx>
        <w:trPr>
          <w:trHeight w:val="285" w:hRule="atLeast"/>
        </w:trPr>
        <w:tc>
          <w:tcPr>
            <w:tcW w:w="75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144"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70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241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干部职工满意度</w:t>
            </w:r>
          </w:p>
        </w:tc>
        <w:tc>
          <w:tcPr>
            <w:tcW w:w="12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=100%</w:t>
            </w:r>
          </w:p>
        </w:tc>
        <w:tc>
          <w:tcPr>
            <w:tcW w:w="1209"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100%</w:t>
            </w:r>
          </w:p>
        </w:tc>
      </w:tr>
      <w:tr>
        <w:tblPrEx>
          <w:tblCellMar>
            <w:top w:w="0" w:type="dxa"/>
            <w:left w:w="108" w:type="dxa"/>
            <w:bottom w:w="0" w:type="dxa"/>
            <w:right w:w="108" w:type="dxa"/>
          </w:tblCellMar>
        </w:tblPrEx>
        <w:trPr>
          <w:trHeight w:val="285" w:hRule="atLeast"/>
        </w:trPr>
        <w:tc>
          <w:tcPr>
            <w:tcW w:w="75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14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70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241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退休干部满意度</w:t>
            </w:r>
          </w:p>
        </w:tc>
        <w:tc>
          <w:tcPr>
            <w:tcW w:w="12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&gt;=97%</w:t>
            </w:r>
          </w:p>
        </w:tc>
        <w:tc>
          <w:tcPr>
            <w:tcW w:w="1209"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97%</w:t>
            </w:r>
          </w:p>
        </w:tc>
      </w:tr>
    </w:tbl>
    <w:p>
      <w:pPr>
        <w:rPr>
          <w:rFonts w:ascii="仿宋" w:hAnsi="仿宋" w:eastAsia="仿宋" w:cs="宋体"/>
          <w:color w:val="333333"/>
          <w:sz w:val="32"/>
          <w:szCs w:val="32"/>
          <w:lang w:bidi="ar"/>
        </w:rPr>
      </w:pP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docPartObj>
        <w:docPartGallery w:val="autotext"/>
      </w:docPartObj>
    </w:sdtPr>
    <w:sdtEndPr>
      <w:rPr>
        <w:rFonts w:asciiTheme="minorEastAsia" w:hAnsiTheme="minorEastAsia"/>
        <w:sz w:val="28"/>
        <w:szCs w:val="28"/>
      </w:rPr>
    </w:sdtEndPr>
    <w:sdtContent>
      <w:p>
        <w:pPr>
          <w:pStyle w:val="8"/>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25 -</w:t>
        </w:r>
        <w:r>
          <w:rPr>
            <w:rFonts w:asciiTheme="minorEastAsia" w:hAnsiTheme="minorEastAsia"/>
            <w:sz w:val="28"/>
            <w:szCs w:val="28"/>
          </w:rPr>
          <w:fldChar w:fldCharType="end"/>
        </w:r>
      </w:p>
    </w:sdtContent>
  </w:sdt>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B966C7"/>
    <w:multiLevelType w:val="multilevel"/>
    <w:tmpl w:val="37B966C7"/>
    <w:lvl w:ilvl="0" w:tentative="0">
      <w:start w:val="1"/>
      <w:numFmt w:val="chineseCountingThousand"/>
      <w:lvlText w:val="(%1)"/>
      <w:lvlJc w:val="left"/>
      <w:pPr>
        <w:ind w:left="982" w:hanging="420"/>
      </w:pPr>
    </w:lvl>
    <w:lvl w:ilvl="1" w:tentative="0">
      <w:start w:val="1"/>
      <w:numFmt w:val="lowerLetter"/>
      <w:lvlText w:val="%2)"/>
      <w:lvlJc w:val="left"/>
      <w:pPr>
        <w:ind w:left="1402" w:hanging="420"/>
      </w:p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1">
    <w:nsid w:val="3BFF2592"/>
    <w:multiLevelType w:val="singleLevel"/>
    <w:tmpl w:val="3BFF2592"/>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k4ZjMzZTkxMDUzOWUwYzQ4OTViM2UwODBmYmY3N2QifQ=="/>
  </w:docVars>
  <w:rsids>
    <w:rsidRoot w:val="00633862"/>
    <w:rsid w:val="00025A44"/>
    <w:rsid w:val="00072084"/>
    <w:rsid w:val="0009422A"/>
    <w:rsid w:val="000B6B13"/>
    <w:rsid w:val="000D1DEE"/>
    <w:rsid w:val="000D3AFA"/>
    <w:rsid w:val="00105D60"/>
    <w:rsid w:val="001121F2"/>
    <w:rsid w:val="00112859"/>
    <w:rsid w:val="001173EB"/>
    <w:rsid w:val="00150C4C"/>
    <w:rsid w:val="00191BA3"/>
    <w:rsid w:val="001A2299"/>
    <w:rsid w:val="001A3A0E"/>
    <w:rsid w:val="001F630E"/>
    <w:rsid w:val="0022744B"/>
    <w:rsid w:val="00234372"/>
    <w:rsid w:val="00234B37"/>
    <w:rsid w:val="00246941"/>
    <w:rsid w:val="002764C7"/>
    <w:rsid w:val="002D075E"/>
    <w:rsid w:val="00303A08"/>
    <w:rsid w:val="003226C4"/>
    <w:rsid w:val="003E3DEF"/>
    <w:rsid w:val="003E7C70"/>
    <w:rsid w:val="0049337C"/>
    <w:rsid w:val="004C4C4D"/>
    <w:rsid w:val="004C6FF3"/>
    <w:rsid w:val="004E69F5"/>
    <w:rsid w:val="004E7AAC"/>
    <w:rsid w:val="00531A31"/>
    <w:rsid w:val="00533C6C"/>
    <w:rsid w:val="00593943"/>
    <w:rsid w:val="005A08A8"/>
    <w:rsid w:val="005B1250"/>
    <w:rsid w:val="005C33CE"/>
    <w:rsid w:val="006225D7"/>
    <w:rsid w:val="00633862"/>
    <w:rsid w:val="006379B7"/>
    <w:rsid w:val="006413B6"/>
    <w:rsid w:val="006910A7"/>
    <w:rsid w:val="00691310"/>
    <w:rsid w:val="006A7181"/>
    <w:rsid w:val="006C5BED"/>
    <w:rsid w:val="006D3947"/>
    <w:rsid w:val="00702D4A"/>
    <w:rsid w:val="007115C8"/>
    <w:rsid w:val="00713ADC"/>
    <w:rsid w:val="00725B9A"/>
    <w:rsid w:val="00754721"/>
    <w:rsid w:val="007713F8"/>
    <w:rsid w:val="007A7491"/>
    <w:rsid w:val="007A7874"/>
    <w:rsid w:val="00800784"/>
    <w:rsid w:val="00817432"/>
    <w:rsid w:val="008614D8"/>
    <w:rsid w:val="00875327"/>
    <w:rsid w:val="00886879"/>
    <w:rsid w:val="00890FC2"/>
    <w:rsid w:val="008E3F8A"/>
    <w:rsid w:val="00923468"/>
    <w:rsid w:val="00952782"/>
    <w:rsid w:val="0095580D"/>
    <w:rsid w:val="0097614B"/>
    <w:rsid w:val="00992D45"/>
    <w:rsid w:val="009A1625"/>
    <w:rsid w:val="009E5FF8"/>
    <w:rsid w:val="009F06F4"/>
    <w:rsid w:val="00A05135"/>
    <w:rsid w:val="00A43D21"/>
    <w:rsid w:val="00A55238"/>
    <w:rsid w:val="00AA5126"/>
    <w:rsid w:val="00AC4471"/>
    <w:rsid w:val="00AD16CD"/>
    <w:rsid w:val="00AF42EB"/>
    <w:rsid w:val="00B130FE"/>
    <w:rsid w:val="00B34A48"/>
    <w:rsid w:val="00B407C3"/>
    <w:rsid w:val="00B666A1"/>
    <w:rsid w:val="00BA1454"/>
    <w:rsid w:val="00C42609"/>
    <w:rsid w:val="00C4673D"/>
    <w:rsid w:val="00C76454"/>
    <w:rsid w:val="00C81F75"/>
    <w:rsid w:val="00CB1C9D"/>
    <w:rsid w:val="00CC7606"/>
    <w:rsid w:val="00CD2F35"/>
    <w:rsid w:val="00CE16E7"/>
    <w:rsid w:val="00CE61DB"/>
    <w:rsid w:val="00D26F3D"/>
    <w:rsid w:val="00D278CF"/>
    <w:rsid w:val="00D77626"/>
    <w:rsid w:val="00D81EE2"/>
    <w:rsid w:val="00DA67B8"/>
    <w:rsid w:val="00DB1085"/>
    <w:rsid w:val="00DD223C"/>
    <w:rsid w:val="00E213C7"/>
    <w:rsid w:val="00E41A31"/>
    <w:rsid w:val="00E7188B"/>
    <w:rsid w:val="00F006BD"/>
    <w:rsid w:val="00F17550"/>
    <w:rsid w:val="00F27120"/>
    <w:rsid w:val="00F341E0"/>
    <w:rsid w:val="00F36401"/>
    <w:rsid w:val="00F42445"/>
    <w:rsid w:val="00F44FCC"/>
    <w:rsid w:val="00F74974"/>
    <w:rsid w:val="00F829DE"/>
    <w:rsid w:val="00F84215"/>
    <w:rsid w:val="00F91CBB"/>
    <w:rsid w:val="03E03A88"/>
    <w:rsid w:val="043B36A0"/>
    <w:rsid w:val="06BD5DFB"/>
    <w:rsid w:val="06DE70BC"/>
    <w:rsid w:val="071C7FAD"/>
    <w:rsid w:val="07D53896"/>
    <w:rsid w:val="095B24B9"/>
    <w:rsid w:val="0967064C"/>
    <w:rsid w:val="0C0B6463"/>
    <w:rsid w:val="0D7443D9"/>
    <w:rsid w:val="0DBB5B26"/>
    <w:rsid w:val="0E337D11"/>
    <w:rsid w:val="0E9A5E97"/>
    <w:rsid w:val="0F0C1040"/>
    <w:rsid w:val="10A4405A"/>
    <w:rsid w:val="110F0891"/>
    <w:rsid w:val="137721A4"/>
    <w:rsid w:val="13BD7738"/>
    <w:rsid w:val="14994B71"/>
    <w:rsid w:val="14B07985"/>
    <w:rsid w:val="14E75CEE"/>
    <w:rsid w:val="15871991"/>
    <w:rsid w:val="15C00E1D"/>
    <w:rsid w:val="163D2AB4"/>
    <w:rsid w:val="197E3B8B"/>
    <w:rsid w:val="1AA93651"/>
    <w:rsid w:val="1B9A30FB"/>
    <w:rsid w:val="1BD83922"/>
    <w:rsid w:val="1C44302B"/>
    <w:rsid w:val="1EB60E4D"/>
    <w:rsid w:val="20360D79"/>
    <w:rsid w:val="20DA3B66"/>
    <w:rsid w:val="20E01E56"/>
    <w:rsid w:val="21BF3824"/>
    <w:rsid w:val="22EC2C69"/>
    <w:rsid w:val="234A6CF8"/>
    <w:rsid w:val="236E4C23"/>
    <w:rsid w:val="2412485B"/>
    <w:rsid w:val="2453782F"/>
    <w:rsid w:val="24F52B51"/>
    <w:rsid w:val="2620221D"/>
    <w:rsid w:val="273509B9"/>
    <w:rsid w:val="284C595A"/>
    <w:rsid w:val="2AAE4A8A"/>
    <w:rsid w:val="2CCF1F86"/>
    <w:rsid w:val="2E5800D9"/>
    <w:rsid w:val="30825340"/>
    <w:rsid w:val="308D56AB"/>
    <w:rsid w:val="35AF7474"/>
    <w:rsid w:val="383A7FA3"/>
    <w:rsid w:val="38FC36E4"/>
    <w:rsid w:val="39B80967"/>
    <w:rsid w:val="3A740D55"/>
    <w:rsid w:val="3BF13BF3"/>
    <w:rsid w:val="3C2E6878"/>
    <w:rsid w:val="3CC75B59"/>
    <w:rsid w:val="3CC97F71"/>
    <w:rsid w:val="3D930A72"/>
    <w:rsid w:val="40E02EAE"/>
    <w:rsid w:val="42385FFB"/>
    <w:rsid w:val="42CE27FC"/>
    <w:rsid w:val="43242C3E"/>
    <w:rsid w:val="451A0A7D"/>
    <w:rsid w:val="45D52DE8"/>
    <w:rsid w:val="48AC3164"/>
    <w:rsid w:val="4BC85419"/>
    <w:rsid w:val="4C0B3810"/>
    <w:rsid w:val="4E3A6E38"/>
    <w:rsid w:val="4ED035A1"/>
    <w:rsid w:val="4FAD0398"/>
    <w:rsid w:val="503264DF"/>
    <w:rsid w:val="52992DCB"/>
    <w:rsid w:val="566C3A6C"/>
    <w:rsid w:val="56987578"/>
    <w:rsid w:val="56C85984"/>
    <w:rsid w:val="570A2CEB"/>
    <w:rsid w:val="59314B3E"/>
    <w:rsid w:val="5945153B"/>
    <w:rsid w:val="59572658"/>
    <w:rsid w:val="59A638AB"/>
    <w:rsid w:val="5A9F0C15"/>
    <w:rsid w:val="5B231846"/>
    <w:rsid w:val="5C041089"/>
    <w:rsid w:val="5D4F005D"/>
    <w:rsid w:val="5E434A1F"/>
    <w:rsid w:val="607F4358"/>
    <w:rsid w:val="6106479C"/>
    <w:rsid w:val="6113712C"/>
    <w:rsid w:val="633E6BC9"/>
    <w:rsid w:val="65F74D48"/>
    <w:rsid w:val="68574537"/>
    <w:rsid w:val="6A1D643E"/>
    <w:rsid w:val="6AB7102F"/>
    <w:rsid w:val="6B8624C6"/>
    <w:rsid w:val="6CCA5A2A"/>
    <w:rsid w:val="6DCF265A"/>
    <w:rsid w:val="6DEC5651"/>
    <w:rsid w:val="6ECF0529"/>
    <w:rsid w:val="70007782"/>
    <w:rsid w:val="70F85B01"/>
    <w:rsid w:val="717A6B39"/>
    <w:rsid w:val="73431117"/>
    <w:rsid w:val="74417A54"/>
    <w:rsid w:val="75C155E9"/>
    <w:rsid w:val="75F64D4E"/>
    <w:rsid w:val="778A4D85"/>
    <w:rsid w:val="77FF4CE8"/>
    <w:rsid w:val="79D82548"/>
    <w:rsid w:val="7B3F08E6"/>
    <w:rsid w:val="7E3A630F"/>
    <w:rsid w:val="7F9E29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4"/>
    <w:unhideWhenUsed/>
    <w:qFormat/>
    <w:uiPriority w:val="9"/>
    <w:pPr>
      <w:keepNext/>
      <w:keepLines/>
      <w:spacing w:before="260" w:after="260" w:line="416" w:lineRule="auto"/>
      <w:outlineLvl w:val="2"/>
    </w:pPr>
    <w:rPr>
      <w:b/>
      <w:bCs/>
      <w:sz w:val="32"/>
      <w:szCs w:val="32"/>
    </w:rPr>
  </w:style>
  <w:style w:type="paragraph" w:styleId="6">
    <w:name w:val="heading 4"/>
    <w:basedOn w:val="1"/>
    <w:next w:val="1"/>
    <w:link w:val="2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customStyle="1" w:styleId="2">
    <w:name w:val="Char"/>
    <w:basedOn w:val="1"/>
    <w:qFormat/>
    <w:uiPriority w:val="99"/>
    <w:pPr>
      <w:widowControl/>
      <w:spacing w:before="100" w:beforeAutospacing="1" w:after="160" w:line="240" w:lineRule="exact"/>
      <w:jc w:val="left"/>
    </w:pPr>
  </w:style>
  <w:style w:type="paragraph" w:styleId="7">
    <w:name w:val="toc 3"/>
    <w:basedOn w:val="1"/>
    <w:next w:val="1"/>
    <w:unhideWhenUsed/>
    <w:qFormat/>
    <w:uiPriority w:val="39"/>
    <w:pPr>
      <w:ind w:left="840" w:leftChars="400"/>
    </w:pPr>
  </w:style>
  <w:style w:type="paragraph" w:styleId="8">
    <w:name w:val="footer"/>
    <w:basedOn w:val="1"/>
    <w:link w:val="19"/>
    <w:unhideWhenUsed/>
    <w:uiPriority w:val="99"/>
    <w:pPr>
      <w:tabs>
        <w:tab w:val="center" w:pos="4153"/>
        <w:tab w:val="right" w:pos="8306"/>
      </w:tabs>
      <w:snapToGrid w:val="0"/>
      <w:jc w:val="left"/>
    </w:pPr>
    <w:rPr>
      <w:sz w:val="18"/>
      <w:szCs w:val="18"/>
    </w:rPr>
  </w:style>
  <w:style w:type="paragraph" w:styleId="9">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4"/>
    <w:basedOn w:val="1"/>
    <w:next w:val="1"/>
    <w:unhideWhenUsed/>
    <w:qFormat/>
    <w:uiPriority w:val="39"/>
    <w:pPr>
      <w:ind w:left="1260" w:leftChars="600"/>
    </w:pPr>
  </w:style>
  <w:style w:type="paragraph" w:styleId="11">
    <w:name w:val="Subtitle"/>
    <w:basedOn w:val="1"/>
    <w:next w:val="1"/>
    <w:link w:val="23"/>
    <w:qFormat/>
    <w:uiPriority w:val="11"/>
    <w:pPr>
      <w:spacing w:before="240" w:after="60" w:line="312" w:lineRule="auto"/>
      <w:jc w:val="center"/>
      <w:outlineLvl w:val="1"/>
    </w:pPr>
    <w:rPr>
      <w:b/>
      <w:bCs/>
      <w:kern w:val="28"/>
      <w:sz w:val="32"/>
      <w:szCs w:val="32"/>
    </w:rPr>
  </w:style>
  <w:style w:type="paragraph" w:styleId="12">
    <w:name w:val="toc 2"/>
    <w:basedOn w:val="1"/>
    <w:next w:val="1"/>
    <w:unhideWhenUsed/>
    <w:uiPriority w:val="39"/>
    <w:pPr>
      <w:ind w:left="420" w:leftChars="200"/>
    </w:pPr>
  </w:style>
  <w:style w:type="paragraph" w:styleId="13">
    <w:name w:val="Title"/>
    <w:basedOn w:val="1"/>
    <w:next w:val="1"/>
    <w:link w:val="21"/>
    <w:qFormat/>
    <w:uiPriority w:val="10"/>
    <w:pPr>
      <w:spacing w:before="240" w:after="60"/>
      <w:jc w:val="center"/>
      <w:outlineLvl w:val="0"/>
    </w:pPr>
    <w:rPr>
      <w:rFonts w:asciiTheme="majorHAnsi" w:hAnsiTheme="majorHAnsi" w:eastAsiaTheme="majorEastAsia" w:cstheme="majorBidi"/>
      <w:b/>
      <w:bCs/>
      <w:sz w:val="32"/>
      <w:szCs w:val="32"/>
    </w:rPr>
  </w:style>
  <w:style w:type="character" w:styleId="16">
    <w:name w:val="Strong"/>
    <w:basedOn w:val="15"/>
    <w:qFormat/>
    <w:uiPriority w:val="0"/>
    <w:rPr>
      <w:b/>
      <w:bCs/>
    </w:rPr>
  </w:style>
  <w:style w:type="character" w:styleId="17">
    <w:name w:val="Hyperlink"/>
    <w:basedOn w:val="15"/>
    <w:unhideWhenUsed/>
    <w:qFormat/>
    <w:uiPriority w:val="99"/>
    <w:rPr>
      <w:color w:val="0000FF" w:themeColor="hyperlink"/>
      <w:u w:val="single"/>
      <w14:textFill>
        <w14:solidFill>
          <w14:schemeClr w14:val="hlink"/>
        </w14:solidFill>
      </w14:textFill>
    </w:rPr>
  </w:style>
  <w:style w:type="character" w:customStyle="1" w:styleId="18">
    <w:name w:val="页眉 字符"/>
    <w:basedOn w:val="15"/>
    <w:link w:val="9"/>
    <w:qFormat/>
    <w:uiPriority w:val="99"/>
    <w:rPr>
      <w:sz w:val="18"/>
      <w:szCs w:val="18"/>
    </w:rPr>
  </w:style>
  <w:style w:type="character" w:customStyle="1" w:styleId="19">
    <w:name w:val="页脚 字符"/>
    <w:basedOn w:val="15"/>
    <w:link w:val="8"/>
    <w:qFormat/>
    <w:uiPriority w:val="99"/>
    <w:rPr>
      <w:sz w:val="18"/>
      <w:szCs w:val="18"/>
    </w:rPr>
  </w:style>
  <w:style w:type="paragraph" w:styleId="20">
    <w:name w:val="List Paragraph"/>
    <w:basedOn w:val="1"/>
    <w:unhideWhenUsed/>
    <w:qFormat/>
    <w:uiPriority w:val="99"/>
    <w:pPr>
      <w:ind w:firstLine="420" w:firstLineChars="200"/>
    </w:pPr>
  </w:style>
  <w:style w:type="character" w:customStyle="1" w:styleId="21">
    <w:name w:val="标题 字符"/>
    <w:basedOn w:val="15"/>
    <w:link w:val="13"/>
    <w:qFormat/>
    <w:uiPriority w:val="10"/>
    <w:rPr>
      <w:rFonts w:asciiTheme="majorHAnsi" w:hAnsiTheme="majorHAnsi" w:eastAsiaTheme="majorEastAsia" w:cstheme="majorBidi"/>
      <w:b/>
      <w:bCs/>
      <w:sz w:val="32"/>
      <w:szCs w:val="32"/>
    </w:rPr>
  </w:style>
  <w:style w:type="character" w:customStyle="1" w:styleId="22">
    <w:name w:val="标题 2 字符"/>
    <w:basedOn w:val="15"/>
    <w:link w:val="4"/>
    <w:qFormat/>
    <w:uiPriority w:val="9"/>
    <w:rPr>
      <w:rFonts w:asciiTheme="majorHAnsi" w:hAnsiTheme="majorHAnsi" w:eastAsiaTheme="majorEastAsia" w:cstheme="majorBidi"/>
      <w:b/>
      <w:bCs/>
      <w:sz w:val="32"/>
      <w:szCs w:val="32"/>
    </w:rPr>
  </w:style>
  <w:style w:type="character" w:customStyle="1" w:styleId="23">
    <w:name w:val="副标题 字符"/>
    <w:basedOn w:val="15"/>
    <w:link w:val="11"/>
    <w:qFormat/>
    <w:uiPriority w:val="11"/>
    <w:rPr>
      <w:b/>
      <w:bCs/>
      <w:kern w:val="28"/>
      <w:sz w:val="32"/>
      <w:szCs w:val="32"/>
    </w:rPr>
  </w:style>
  <w:style w:type="character" w:customStyle="1" w:styleId="24">
    <w:name w:val="标题 3 字符"/>
    <w:basedOn w:val="15"/>
    <w:link w:val="5"/>
    <w:qFormat/>
    <w:uiPriority w:val="9"/>
    <w:rPr>
      <w:b/>
      <w:bCs/>
      <w:sz w:val="32"/>
      <w:szCs w:val="32"/>
    </w:rPr>
  </w:style>
  <w:style w:type="character" w:styleId="25">
    <w:name w:val="Placeholder Text"/>
    <w:basedOn w:val="15"/>
    <w:semiHidden/>
    <w:qFormat/>
    <w:uiPriority w:val="99"/>
    <w:rPr>
      <w:color w:val="808080"/>
    </w:rPr>
  </w:style>
  <w:style w:type="character" w:customStyle="1" w:styleId="26">
    <w:name w:val="标题 1 字符"/>
    <w:basedOn w:val="15"/>
    <w:link w:val="3"/>
    <w:qFormat/>
    <w:uiPriority w:val="9"/>
    <w:rPr>
      <w:b/>
      <w:bCs/>
      <w:kern w:val="44"/>
      <w:sz w:val="44"/>
      <w:szCs w:val="44"/>
    </w:rPr>
  </w:style>
  <w:style w:type="paragraph" w:customStyle="1" w:styleId="27">
    <w:name w:val="TOC 标题1"/>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28">
    <w:name w:val="标题 4 字符"/>
    <w:basedOn w:val="15"/>
    <w:link w:val="6"/>
    <w:qFormat/>
    <w:uiPriority w:val="9"/>
    <w:rPr>
      <w:rFonts w:asciiTheme="majorHAnsi" w:hAnsiTheme="majorHAnsi" w:eastAsiaTheme="majorEastAsia" w:cstheme="majorBidi"/>
      <w:b/>
      <w:bCs/>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84F0B-0206-47D6-B558-695C9B4C767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23</Pages>
  <Words>10023</Words>
  <Characters>10800</Characters>
  <Lines>72</Lines>
  <Paragraphs>20</Paragraphs>
  <TotalTime>5</TotalTime>
  <ScaleCrop>false</ScaleCrop>
  <LinksUpToDate>false</LinksUpToDate>
  <CharactersWithSpaces>10840</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2021-04-27T13:06:00Z</dcterms:created>
  <dc:creator>jc</dc:creator>
  <cp:lastModifiedBy>123</cp:lastModifiedBy>
  <dcterms:modified xsi:type="dcterms:W3CDTF">2022-05-27T08:59:05Z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BAD04B59BD2848D4BADB5CB180E80E52</vt:lpwstr>
  </property>
</Properties>
</file>